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 w:val="44"/>
          <w:szCs w:val="44"/>
        </w:rPr>
      </w:pPr>
      <w:r>
        <w:rPr>
          <w:rFonts w:hint="eastAsia"/>
          <w:color w:val="000000"/>
          <w:sz w:val="44"/>
          <w:szCs w:val="44"/>
        </w:rPr>
        <w:t>杭州展起刷业有限公司</w:t>
      </w:r>
    </w:p>
    <w:p>
      <w:pPr>
        <w:rPr>
          <w:color w:val="000000"/>
          <w:sz w:val="44"/>
          <w:szCs w:val="44"/>
        </w:rPr>
      </w:pPr>
    </w:p>
    <w:p>
      <w:pPr>
        <w:jc w:val="center"/>
        <w:rPr>
          <w:color w:val="000000"/>
          <w:sz w:val="44"/>
          <w:szCs w:val="44"/>
        </w:rPr>
      </w:pPr>
      <w:r>
        <w:rPr>
          <w:rFonts w:hint="eastAsia"/>
          <w:color w:val="000000"/>
          <w:sz w:val="44"/>
          <w:szCs w:val="44"/>
        </w:rPr>
        <w:t>质量诚信报告</w:t>
      </w:r>
    </w:p>
    <w:p>
      <w:pPr>
        <w:jc w:val="center"/>
        <w:rPr>
          <w:color w:val="000000"/>
        </w:rPr>
      </w:pPr>
    </w:p>
    <w:p>
      <w:pPr>
        <w:jc w:val="center"/>
        <w:rPr>
          <w:color w:val="000000"/>
          <w:sz w:val="44"/>
          <w:szCs w:val="44"/>
        </w:rPr>
      </w:pPr>
      <w:r>
        <w:rPr>
          <w:rFonts w:hint="eastAsia"/>
          <w:color w:val="000000"/>
          <w:sz w:val="44"/>
          <w:szCs w:val="44"/>
        </w:rPr>
        <w:t>编制：施权起</w:t>
      </w:r>
    </w:p>
    <w:p>
      <w:pPr>
        <w:jc w:val="center"/>
        <w:rPr>
          <w:rFonts w:ascii="方正舒体" w:eastAsia="方正舒体"/>
          <w:color w:val="000000"/>
          <w:sz w:val="44"/>
          <w:szCs w:val="44"/>
        </w:rPr>
      </w:pPr>
      <w:r>
        <w:rPr>
          <w:rFonts w:hint="eastAsia"/>
          <w:color w:val="000000"/>
          <w:sz w:val="44"/>
          <w:szCs w:val="44"/>
        </w:rPr>
        <w:t>批准：李耀华</w:t>
      </w:r>
    </w:p>
    <w:p>
      <w:pPr>
        <w:jc w:val="center"/>
        <w:rPr>
          <w:color w:val="000000"/>
        </w:rPr>
      </w:pPr>
    </w:p>
    <w:p>
      <w:pPr>
        <w:jc w:val="center"/>
        <w:rPr>
          <w:color w:val="000000"/>
        </w:rPr>
      </w:pPr>
      <w:r>
        <w:rPr>
          <w:color w:val="000000"/>
        </w:rPr>
        <w:drawing>
          <wp:inline distT="0" distB="0" distL="0" distR="0">
            <wp:extent cx="5274310" cy="2208530"/>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a:srcRect/>
                    <a:stretch>
                      <a:fillRect/>
                    </a:stretch>
                  </pic:blipFill>
                  <pic:spPr>
                    <a:xfrm>
                      <a:off x="0" y="0"/>
                      <a:ext cx="5274310" cy="2208693"/>
                    </a:xfrm>
                    <a:prstGeom prst="rect">
                      <a:avLst/>
                    </a:prstGeom>
                    <a:noFill/>
                    <a:ln w="9525">
                      <a:noFill/>
                      <a:miter lim="800000"/>
                      <a:headEnd/>
                      <a:tailEnd/>
                    </a:ln>
                  </pic:spPr>
                </pic:pic>
              </a:graphicData>
            </a:graphic>
          </wp:inline>
        </w:drawing>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sz w:val="44"/>
          <w:szCs w:val="44"/>
        </w:rPr>
      </w:pPr>
      <w:r>
        <w:rPr>
          <w:rFonts w:hint="eastAsia"/>
          <w:color w:val="000000"/>
          <w:sz w:val="44"/>
          <w:szCs w:val="44"/>
        </w:rPr>
        <w:t>202</w:t>
      </w:r>
      <w:r>
        <w:rPr>
          <w:rFonts w:hint="eastAsia"/>
          <w:color w:val="000000"/>
          <w:sz w:val="44"/>
          <w:szCs w:val="44"/>
          <w:lang w:val="en-US" w:eastAsia="zh-CN"/>
        </w:rPr>
        <w:t>3</w:t>
      </w:r>
      <w:r>
        <w:rPr>
          <w:rFonts w:hint="eastAsia"/>
          <w:color w:val="000000"/>
          <w:sz w:val="44"/>
          <w:szCs w:val="44"/>
        </w:rPr>
        <w:t>年</w:t>
      </w:r>
      <w:r>
        <w:rPr>
          <w:rFonts w:hint="eastAsia"/>
          <w:color w:val="000000"/>
          <w:sz w:val="44"/>
          <w:szCs w:val="44"/>
          <w:lang w:val="en-US" w:eastAsia="zh-CN"/>
        </w:rPr>
        <w:t>6</w:t>
      </w:r>
      <w:r>
        <w:rPr>
          <w:rFonts w:hint="eastAsia"/>
          <w:color w:val="000000"/>
          <w:sz w:val="44"/>
          <w:szCs w:val="44"/>
        </w:rPr>
        <w:t>月</w:t>
      </w:r>
    </w:p>
    <w:p/>
    <w:p/>
    <w:p/>
    <w:p>
      <w:pPr>
        <w:pStyle w:val="5"/>
        <w:tabs>
          <w:tab w:val="right" w:leader="dot" w:pos="8296"/>
        </w:tabs>
        <w:spacing w:beforeLines="0" w:afterLines="0" w:line="276" w:lineRule="auto"/>
        <w:ind w:firstLine="3697" w:firstLineChars="837"/>
        <w:rPr>
          <w:rFonts w:cs="宋体"/>
          <w:b/>
          <w:bCs/>
          <w:color w:val="000000"/>
          <w:kern w:val="32"/>
          <w:sz w:val="44"/>
          <w:szCs w:val="44"/>
        </w:rPr>
      </w:pPr>
      <w:r>
        <w:rPr>
          <w:rFonts w:cs="宋体"/>
          <w:b/>
          <w:bCs/>
          <w:color w:val="000000"/>
          <w:kern w:val="32"/>
          <w:sz w:val="44"/>
          <w:szCs w:val="44"/>
        </w:rPr>
        <w:br w:type="page"/>
      </w:r>
      <w:r>
        <w:rPr>
          <w:rFonts w:hint="eastAsia" w:cs="宋体"/>
          <w:b/>
          <w:bCs/>
          <w:color w:val="000000"/>
          <w:kern w:val="32"/>
          <w:sz w:val="44"/>
          <w:szCs w:val="44"/>
        </w:rPr>
        <w:t>目录</w:t>
      </w:r>
    </w:p>
    <w:p>
      <w:pPr>
        <w:pStyle w:val="5"/>
        <w:tabs>
          <w:tab w:val="right" w:leader="dot" w:pos="8296"/>
        </w:tabs>
        <w:spacing w:beforeLines="0" w:afterLines="0" w:line="276" w:lineRule="auto"/>
        <w:rPr>
          <w:color w:val="000000"/>
          <w:sz w:val="28"/>
          <w:szCs w:val="28"/>
        </w:rPr>
      </w:pPr>
    </w:p>
    <w:p>
      <w:pPr>
        <w:pStyle w:val="5"/>
        <w:tabs>
          <w:tab w:val="right" w:leader="dot" w:pos="8296"/>
        </w:tabs>
        <w:spacing w:beforeLines="0" w:afterLines="0" w:line="276" w:lineRule="auto"/>
        <w:rPr>
          <w:rFonts w:ascii="Times New Roman"/>
          <w:szCs w:val="24"/>
        </w:rPr>
      </w:pPr>
      <w:r>
        <w:fldChar w:fldCharType="begin"/>
      </w:r>
      <w:r>
        <w:instrText xml:space="preserve"> HYPERLINK \l "_Toc451594564" </w:instrText>
      </w:r>
      <w:r>
        <w:fldChar w:fldCharType="separate"/>
      </w:r>
      <w:r>
        <w:rPr>
          <w:rFonts w:hint="eastAsia" w:ascii="Times New Roman"/>
          <w:szCs w:val="24"/>
        </w:rPr>
        <w:t xml:space="preserve">前言 </w:t>
      </w:r>
      <w:r>
        <w:rPr>
          <w:rFonts w:hint="eastAsia" w:ascii="Times New Roman"/>
          <w:szCs w:val="24"/>
        </w:rPr>
        <w:fldChar w:fldCharType="end"/>
      </w:r>
    </w:p>
    <w:p>
      <w:r>
        <w:rPr>
          <w:rFonts w:hint="eastAsia"/>
        </w:rPr>
        <w:t>总经理致辞</w:t>
      </w:r>
    </w:p>
    <w:p>
      <w:pPr>
        <w:pStyle w:val="5"/>
        <w:tabs>
          <w:tab w:val="right" w:leader="dot" w:pos="8296"/>
        </w:tabs>
        <w:spacing w:beforeLines="0" w:afterLines="0" w:line="276" w:lineRule="auto"/>
        <w:rPr>
          <w:rFonts w:ascii="Times New Roman"/>
          <w:szCs w:val="24"/>
        </w:rPr>
      </w:pPr>
      <w:r>
        <w:fldChar w:fldCharType="begin"/>
      </w:r>
      <w:r>
        <w:instrText xml:space="preserve"> HYPERLINK \l "_Toc451594565" </w:instrText>
      </w:r>
      <w:r>
        <w:fldChar w:fldCharType="separate"/>
      </w:r>
      <w:r>
        <w:rPr>
          <w:rFonts w:hint="eastAsia" w:ascii="Times New Roman"/>
          <w:szCs w:val="24"/>
        </w:rPr>
        <w:t>一、公司简介</w:t>
      </w:r>
      <w:r>
        <w:rPr>
          <w:rFonts w:hint="eastAsia" w:ascii="Times New Roman"/>
          <w:szCs w:val="24"/>
        </w:rPr>
        <w:fldChar w:fldCharType="end"/>
      </w:r>
    </w:p>
    <w:p>
      <w:pPr>
        <w:pStyle w:val="5"/>
        <w:tabs>
          <w:tab w:val="right" w:leader="dot" w:pos="8296"/>
        </w:tabs>
        <w:spacing w:beforeLines="0" w:afterLines="0" w:line="276" w:lineRule="auto"/>
        <w:rPr>
          <w:rFonts w:ascii="Times New Roman"/>
          <w:szCs w:val="24"/>
        </w:rPr>
      </w:pPr>
      <w:r>
        <w:fldChar w:fldCharType="begin"/>
      </w:r>
      <w:r>
        <w:instrText xml:space="preserve"> HYPERLINK \l "_Toc451594566" </w:instrText>
      </w:r>
      <w:r>
        <w:fldChar w:fldCharType="separate"/>
      </w:r>
      <w:r>
        <w:rPr>
          <w:rFonts w:hint="eastAsia" w:ascii="Times New Roman"/>
          <w:szCs w:val="24"/>
        </w:rPr>
        <w:t>二、企业质量理念</w:t>
      </w:r>
      <w:r>
        <w:rPr>
          <w:rFonts w:hint="eastAsia" w:ascii="Times New Roman"/>
          <w:szCs w:val="24"/>
        </w:rPr>
        <w:fldChar w:fldCharType="end"/>
      </w:r>
    </w:p>
    <w:p>
      <w:pPr>
        <w:pStyle w:val="5"/>
        <w:tabs>
          <w:tab w:val="right" w:leader="dot" w:pos="8296"/>
        </w:tabs>
        <w:spacing w:beforeLines="0" w:afterLines="0" w:line="276" w:lineRule="auto"/>
        <w:rPr>
          <w:rFonts w:ascii="Times New Roman"/>
          <w:szCs w:val="24"/>
        </w:rPr>
      </w:pPr>
      <w:r>
        <w:fldChar w:fldCharType="begin"/>
      </w:r>
      <w:r>
        <w:instrText xml:space="preserve"> HYPERLINK \l "_Toc451594567" </w:instrText>
      </w:r>
      <w:r>
        <w:fldChar w:fldCharType="separate"/>
      </w:r>
      <w:r>
        <w:rPr>
          <w:rFonts w:hint="eastAsia" w:ascii="Times New Roman"/>
          <w:szCs w:val="24"/>
        </w:rPr>
        <w:t>三、企业质量管理</w:t>
      </w:r>
      <w:r>
        <w:rPr>
          <w:rFonts w:hint="eastAsia" w:ascii="Times New Roman"/>
          <w:szCs w:val="24"/>
        </w:rPr>
        <w:fldChar w:fldCharType="end"/>
      </w:r>
    </w:p>
    <w:p>
      <w:pPr>
        <w:pStyle w:val="5"/>
        <w:tabs>
          <w:tab w:val="right" w:leader="dot" w:pos="8296"/>
        </w:tabs>
        <w:spacing w:beforeLines="0" w:afterLines="0" w:line="276" w:lineRule="auto"/>
        <w:rPr>
          <w:rFonts w:ascii="Times New Roman"/>
          <w:szCs w:val="24"/>
        </w:rPr>
      </w:pPr>
      <w:r>
        <w:fldChar w:fldCharType="begin"/>
      </w:r>
      <w:r>
        <w:instrText xml:space="preserve"> HYPERLINK \l "_Toc451594568" </w:instrText>
      </w:r>
      <w:r>
        <w:fldChar w:fldCharType="separate"/>
      </w:r>
      <w:r>
        <w:rPr>
          <w:rFonts w:hint="eastAsia" w:ascii="Times New Roman"/>
          <w:szCs w:val="24"/>
        </w:rPr>
        <w:t>四、质量诚信管理</w:t>
      </w:r>
      <w:r>
        <w:rPr>
          <w:rFonts w:hint="eastAsia" w:ascii="Times New Roman"/>
          <w:szCs w:val="24"/>
        </w:rPr>
        <w:fldChar w:fldCharType="end"/>
      </w:r>
    </w:p>
    <w:p>
      <w:pPr>
        <w:pStyle w:val="5"/>
        <w:tabs>
          <w:tab w:val="right" w:leader="dot" w:pos="8296"/>
        </w:tabs>
        <w:spacing w:beforeLines="0" w:afterLines="0" w:line="276" w:lineRule="auto"/>
        <w:rPr>
          <w:rFonts w:ascii="Times New Roman"/>
          <w:szCs w:val="24"/>
        </w:rPr>
      </w:pPr>
      <w:r>
        <w:fldChar w:fldCharType="begin"/>
      </w:r>
      <w:r>
        <w:instrText xml:space="preserve"> HYPERLINK \l "_Toc451594569" </w:instrText>
      </w:r>
      <w:r>
        <w:fldChar w:fldCharType="separate"/>
      </w:r>
      <w:r>
        <w:rPr>
          <w:rFonts w:hint="eastAsia" w:ascii="Times New Roman"/>
          <w:szCs w:val="24"/>
        </w:rPr>
        <w:t>五、质量管理基础</w:t>
      </w:r>
      <w:r>
        <w:rPr>
          <w:rFonts w:hint="eastAsia" w:ascii="Times New Roman"/>
          <w:szCs w:val="24"/>
        </w:rPr>
        <w:fldChar w:fldCharType="end"/>
      </w:r>
    </w:p>
    <w:p>
      <w:pPr>
        <w:widowControl/>
        <w:spacing w:line="276" w:lineRule="auto"/>
        <w:jc w:val="left"/>
      </w:pPr>
      <w:r>
        <w:fldChar w:fldCharType="begin"/>
      </w:r>
      <w:r>
        <w:instrText xml:space="preserve"> HYPERLINK \l "_Toc451594570" </w:instrText>
      </w:r>
      <w:r>
        <w:fldChar w:fldCharType="separate"/>
      </w:r>
      <w:r>
        <w:rPr>
          <w:rFonts w:hint="eastAsia"/>
        </w:rPr>
        <w:t>六、产品质量责任</w:t>
      </w:r>
      <w:r>
        <w:rPr>
          <w:rFonts w:hint="eastAsia"/>
        </w:rPr>
        <w:fldChar w:fldCharType="end"/>
      </w:r>
    </w:p>
    <w:p>
      <w:pPr>
        <w:spacing w:line="528" w:lineRule="auto"/>
        <w:ind w:firstLine="883" w:firstLineChars="200"/>
        <w:jc w:val="center"/>
      </w:pPr>
      <w:r>
        <w:rPr>
          <w:rFonts w:hint="eastAsia" w:ascii="宋体" w:cs="宋体"/>
          <w:b/>
          <w:bCs/>
          <w:color w:val="000000"/>
          <w:kern w:val="32"/>
          <w:sz w:val="44"/>
          <w:szCs w:val="44"/>
        </w:rPr>
        <w:br w:type="page"/>
      </w:r>
      <w:r>
        <w:rPr>
          <w:rFonts w:hint="eastAsia"/>
        </w:rPr>
        <w:t>前言</w:t>
      </w:r>
    </w:p>
    <w:p>
      <w:pPr>
        <w:spacing w:line="528" w:lineRule="auto"/>
        <w:ind w:firstLine="720" w:firstLineChars="300"/>
      </w:pPr>
      <w:r>
        <w:rPr>
          <w:rFonts w:hint="eastAsia"/>
        </w:rPr>
        <w:t>本公司出具的质量诚信报告，是依据国家有关质量法律法规、规章及相关行业质量标准、规范等进行编制。报告中关于公司质量诚信和质量管理情况是公司现状的真实反映，本公司对报告内容的客观性负责，对相关论述和结论真实性负责。</w:t>
      </w:r>
    </w:p>
    <w:p>
      <w:pPr>
        <w:spacing w:line="528" w:lineRule="auto"/>
        <w:ind w:firstLine="480" w:firstLineChars="200"/>
      </w:pPr>
      <w:r>
        <w:rPr>
          <w:rFonts w:hint="eastAsia"/>
        </w:rPr>
        <w:t>报告范围：</w:t>
      </w:r>
    </w:p>
    <w:p>
      <w:pPr>
        <w:spacing w:line="528" w:lineRule="auto"/>
        <w:ind w:firstLine="480" w:firstLineChars="200"/>
      </w:pPr>
      <w:r>
        <w:rPr>
          <w:rFonts w:hint="eastAsia"/>
        </w:rPr>
        <w:t>本报告的组织范围为杭州展起刷业有限公司。本报告描述了20</w:t>
      </w:r>
      <w:r>
        <w:t>2</w:t>
      </w:r>
      <w:r>
        <w:rPr>
          <w:rFonts w:hint="eastAsia"/>
          <w:lang w:val="en-US" w:eastAsia="zh-CN"/>
        </w:rPr>
        <w:t>2</w:t>
      </w:r>
      <w:r>
        <w:rPr>
          <w:rFonts w:hint="eastAsia"/>
        </w:rPr>
        <w:t>年1月1日至20</w:t>
      </w:r>
      <w:r>
        <w:t>2</w:t>
      </w:r>
      <w:r>
        <w:rPr>
          <w:rFonts w:hint="eastAsia"/>
          <w:lang w:val="en-US" w:eastAsia="zh-CN"/>
        </w:rPr>
        <w:t>2</w:t>
      </w:r>
      <w:r>
        <w:rPr>
          <w:rFonts w:hint="eastAsia"/>
        </w:rPr>
        <w:t>年12月31日期间，公司在质量管理、产品质量责任、质量诚信管理等方面的理念、制度、采取的措施和取得的绩效等。</w:t>
      </w:r>
    </w:p>
    <w:p>
      <w:pPr>
        <w:spacing w:line="528" w:lineRule="auto"/>
        <w:ind w:firstLine="480" w:firstLineChars="200"/>
      </w:pPr>
      <w:r>
        <w:rPr>
          <w:rFonts w:hint="eastAsia"/>
        </w:rPr>
        <w:t>报告发布形式：</w:t>
      </w:r>
    </w:p>
    <w:p>
      <w:pPr>
        <w:spacing w:line="528" w:lineRule="auto"/>
        <w:ind w:firstLine="480" w:firstLineChars="200"/>
      </w:pPr>
      <w:r>
        <w:rPr>
          <w:rFonts w:hint="eastAsia"/>
        </w:rPr>
        <w:t>本公司每年定期发布一次质量诚信报告，本报告以PDF电子文档形式在本公司网站向社会公布，欢迎下载阅读并提出宝贵意见。</w:t>
      </w:r>
    </w:p>
    <w:p>
      <w:pPr>
        <w:spacing w:line="276" w:lineRule="auto"/>
        <w:ind w:firstLine="480" w:firstLineChars="200"/>
      </w:pPr>
    </w:p>
    <w:p>
      <w:pPr>
        <w:widowControl/>
        <w:spacing w:line="276" w:lineRule="auto"/>
        <w:jc w:val="left"/>
      </w:pPr>
    </w:p>
    <w:p>
      <w:pPr>
        <w:widowControl/>
        <w:spacing w:line="276" w:lineRule="auto"/>
        <w:jc w:val="left"/>
      </w:pPr>
    </w:p>
    <w:p>
      <w:pPr>
        <w:widowControl/>
        <w:spacing w:line="276" w:lineRule="auto"/>
        <w:jc w:val="left"/>
      </w:pPr>
    </w:p>
    <w:p>
      <w:pPr>
        <w:widowControl/>
        <w:spacing w:line="276" w:lineRule="auto"/>
        <w:jc w:val="left"/>
      </w:pPr>
    </w:p>
    <w:p>
      <w:pPr>
        <w:ind w:right="-58"/>
        <w:jc w:val="center"/>
      </w:pPr>
      <w:r>
        <w:rPr>
          <w:rFonts w:hint="eastAsia"/>
        </w:rPr>
        <w:br w:type="page"/>
      </w:r>
      <w:r>
        <w:rPr>
          <w:rFonts w:hint="eastAsia"/>
        </w:rPr>
        <w:t>总经理致辞</w:t>
      </w:r>
    </w:p>
    <w:p>
      <w:pPr>
        <w:spacing w:line="528" w:lineRule="auto"/>
        <w:ind w:firstLine="480" w:firstLineChars="200"/>
      </w:pPr>
      <w:r>
        <w:rPr>
          <w:rFonts w:hint="eastAsia"/>
        </w:rPr>
        <w:t>诚信是做企业的基本准则，杭州展起刷业有限公司致力于为公司价值链上的所有参与者创造公平、透明、开放的环境和企业文化。</w:t>
      </w:r>
    </w:p>
    <w:p>
      <w:pPr>
        <w:spacing w:line="528" w:lineRule="auto"/>
        <w:ind w:firstLine="480" w:firstLineChars="200"/>
      </w:pPr>
      <w:r>
        <w:rPr>
          <w:rFonts w:hint="eastAsia"/>
        </w:rPr>
        <w:t xml:space="preserve"> 公司高度重视质量、环境、职业健康安全体系的建设，建立了完善的综合性管理体系，并通过了第三方认证，为公司进一步开拓市场提供了可靠的质量保证。公司建立了一套科学、完善的质量控制体制，受到国内外客户的广泛认可。 </w:t>
      </w:r>
    </w:p>
    <w:p>
      <w:pPr>
        <w:spacing w:line="528" w:lineRule="auto"/>
        <w:ind w:firstLine="480" w:firstLineChars="200"/>
      </w:pPr>
      <w:r>
        <w:rPr>
          <w:rFonts w:hint="eastAsia"/>
        </w:rPr>
        <w:t>在现代经济社会中，诚信不仅是一种道德规范，也是能够为企业带来经济效益的重要资源，质量诚信更是赢取客户的核心要素，企业文化要求全体员工讲诚信，以诚立身，塑造诚信文化，提升企业核心竞争力。</w:t>
      </w:r>
    </w:p>
    <w:p>
      <w:pPr>
        <w:ind w:firstLine="2160" w:firstLineChars="900"/>
        <w:jc w:val="right"/>
      </w:pPr>
      <w:r>
        <w:rPr>
          <w:rFonts w:hint="eastAsia"/>
        </w:rPr>
        <w:t>杭州展起刷业有限公司</w:t>
      </w:r>
    </w:p>
    <w:p>
      <w:pPr>
        <w:wordWrap w:val="0"/>
        <w:ind w:firstLine="3600" w:firstLineChars="1500"/>
        <w:jc w:val="right"/>
        <w:rPr>
          <w:rFonts w:ascii="黑体" w:eastAsia="黑体"/>
          <w:bCs/>
          <w:color w:val="000000"/>
          <w:kern w:val="0"/>
        </w:rPr>
      </w:pPr>
      <w:r>
        <w:rPr>
          <w:rFonts w:hint="eastAsia"/>
        </w:rPr>
        <w:t>总经理</w:t>
      </w:r>
    </w:p>
    <w:p>
      <w:pPr>
        <w:keepNext/>
        <w:keepLines/>
        <w:spacing w:line="276" w:lineRule="auto"/>
        <w:jc w:val="center"/>
        <w:rPr>
          <w:rFonts w:ascii="宋体"/>
          <w:bCs/>
          <w:color w:val="000000"/>
          <w:kern w:val="32"/>
          <w:sz w:val="44"/>
          <w:szCs w:val="44"/>
        </w:rPr>
      </w:pPr>
      <w:r>
        <w:rPr>
          <w:rFonts w:hint="eastAsia" w:ascii="宋体"/>
          <w:bCs/>
          <w:color w:val="000000"/>
          <w:kern w:val="32"/>
          <w:sz w:val="44"/>
          <w:szCs w:val="44"/>
        </w:rPr>
        <w:br w:type="page"/>
      </w:r>
      <w:r>
        <w:rPr>
          <w:rFonts w:hint="eastAsia" w:ascii="宋体"/>
          <w:bCs/>
          <w:color w:val="000000"/>
          <w:kern w:val="32"/>
          <w:sz w:val="44"/>
          <w:szCs w:val="44"/>
        </w:rPr>
        <w:t>报告正文</w:t>
      </w:r>
    </w:p>
    <w:p>
      <w:pPr>
        <w:numPr>
          <w:ilvl w:val="0"/>
          <w:numId w:val="1"/>
        </w:numPr>
        <w:spacing w:line="276" w:lineRule="auto"/>
        <w:outlineLvl w:val="0"/>
      </w:pPr>
      <w:bookmarkStart w:id="0" w:name="_Toc451594565"/>
      <w:bookmarkStart w:id="1" w:name="_Toc451594566"/>
      <w:r>
        <w:rPr>
          <w:rFonts w:hint="eastAsia"/>
        </w:rPr>
        <w:t>公司简介</w:t>
      </w:r>
      <w:bookmarkEnd w:id="0"/>
    </w:p>
    <w:p>
      <w:pPr>
        <w:ind w:firstLine="480" w:firstLineChars="200"/>
        <w:rPr>
          <w:rFonts w:ascii="宋体" w:hAnsi="宋体"/>
        </w:rPr>
      </w:pPr>
      <w:r>
        <w:rPr>
          <w:rFonts w:hint="eastAsia" w:ascii="宋体" w:hAnsi="宋体"/>
        </w:rPr>
        <w:t>杭州展起刷业有限公司成立于2010年，位于素有“天堂”美誉的西子湖畔--杭州市萧山区临浦镇白鹿塘村鲁家坞，是一家集研发、生产、 销售工业刷出口型企业。</w:t>
      </w:r>
    </w:p>
    <w:p>
      <w:pPr>
        <w:ind w:firstLine="480" w:firstLineChars="200"/>
        <w:rPr>
          <w:rFonts w:ascii="宋体" w:hAnsi="宋体"/>
        </w:rPr>
      </w:pPr>
      <w:r>
        <w:rPr>
          <w:rFonts w:hint="eastAsia" w:ascii="宋体" w:hAnsi="宋体"/>
        </w:rPr>
        <w:t>我们拥有一批专业的技术人才和管理团队，采用一流的生产设备和精湛的工艺以铸造品质，因为我们专业，所以我们更专注于产品质量，我们厂已经通过ISO9001质量管理体系认证，我们可根据客户的需求提供各种规格的木柄钢丝刷、塑柄钢丝刷及各种杯型、碗型、盆型、平型钢丝刷，产品经全国外贸公司已出口至欧美、东亚、港台等国家和地区。</w:t>
      </w:r>
    </w:p>
    <w:p>
      <w:pPr>
        <w:ind w:firstLine="480" w:firstLineChars="200"/>
        <w:rPr>
          <w:rFonts w:ascii="宋体" w:hAnsi="宋体"/>
        </w:rPr>
      </w:pPr>
      <w:r>
        <w:rPr>
          <w:rFonts w:hint="eastAsia" w:ascii="宋体" w:hAnsi="宋体"/>
        </w:rPr>
        <w:t>杭州展起之所以获得今天的成功是源于其从不对公司现状自满。是一家有远见的公司，它非常珍视自己的过去，并善于从中总结经验教训，不断进取。</w:t>
      </w:r>
    </w:p>
    <w:p>
      <w:pPr>
        <w:spacing w:line="500" w:lineRule="atLeast"/>
        <w:ind w:right="240"/>
        <w:jc w:val="left"/>
      </w:pPr>
      <w:r>
        <w:rPr>
          <w:rFonts w:hint="eastAsia"/>
        </w:rPr>
        <w:t>二、企业质量理念</w:t>
      </w:r>
      <w:bookmarkEnd w:id="1"/>
    </w:p>
    <w:p>
      <w:pPr>
        <w:spacing w:line="500" w:lineRule="atLeast"/>
        <w:ind w:right="240" w:firstLine="480" w:firstLineChars="200"/>
        <w:jc w:val="left"/>
      </w:pPr>
      <w:r>
        <w:rPr>
          <w:rFonts w:hint="eastAsia"/>
        </w:rPr>
        <w:t>公司自创立至今，始终致力于产品质量的管控，秉持产品质量是企业生存和发展的基石，是占领市场和赢得顾客的先决条件，质量源自于我心，企业依存于顾客的质量理念，不断的完善和提升公司的质量管理水平。公司策划并贯彻了“立足顾客需求、打造行业精品、奉献真诚服务、提高管理效益；遵纪守法﹐预防污染；节能降耗﹐持续改进；遵纪守法，以人为本，持续改善，杜绝事故。”的质量、环境、职业健康安全管理方针、和“</w:t>
      </w:r>
      <w:r>
        <w:rPr>
          <w:rFonts w:hint="eastAsia" w:ascii="宋体" w:hAnsi="宋体"/>
        </w:rPr>
        <w:t>诚信为本，信誉至上</w:t>
      </w:r>
      <w:r>
        <w:rPr>
          <w:rFonts w:hint="eastAsia"/>
        </w:rPr>
        <w:t>”的质量诚信方针。公司在经营活动中，严格按相关法律法规要求、质量管理体系标准要求、管理体系文件要求执行，使企业的质量管理体系得到有效保持和持续改进，使产品质量得到有力的保障和不断的提升，从而使企业各项质量目标得以有效达成。</w:t>
      </w:r>
    </w:p>
    <w:p>
      <w:pPr>
        <w:spacing w:line="500" w:lineRule="atLeast"/>
        <w:ind w:right="240" w:firstLine="480" w:firstLineChars="200"/>
        <w:jc w:val="left"/>
      </w:pPr>
      <w:r>
        <w:rPr>
          <w:rFonts w:hint="eastAsia"/>
        </w:rPr>
        <w:t>为从根本上加强和提升质量管理，提高公司经营质量，公司更以卓越绩效模式的导入为契机，推行全面质量管理，运用项目管理，通过内部审核、自我评价、第二方审核、第三方审核或评价、质量月、改善提案和技改课题发表会等活动，不断寻找改进的机会改进质量管理，逐步实现卓越绩效。公司自建立以来，公司从未出现过重大产品质量投诉，在历年接受各级质量技术监督部门的抽检中，</w:t>
      </w:r>
      <w:bookmarkStart w:id="2" w:name="_Toc451594567"/>
      <w:r>
        <w:rPr>
          <w:rFonts w:hint="eastAsia"/>
        </w:rPr>
        <w:t>未出现不合格情况。</w:t>
      </w:r>
    </w:p>
    <w:p>
      <w:pPr>
        <w:spacing w:line="500" w:lineRule="atLeast"/>
        <w:ind w:right="240" w:firstLine="480" w:firstLineChars="200"/>
        <w:jc w:val="left"/>
      </w:pPr>
    </w:p>
    <w:p>
      <w:pPr>
        <w:spacing w:line="500" w:lineRule="atLeast"/>
        <w:ind w:right="240" w:firstLine="480" w:firstLineChars="200"/>
        <w:jc w:val="left"/>
      </w:pPr>
      <w:r>
        <w:rPr>
          <w:rFonts w:hint="eastAsia"/>
        </w:rPr>
        <w:t>三、企业质量管理</w:t>
      </w:r>
      <w:bookmarkEnd w:id="2"/>
    </w:p>
    <w:p>
      <w:pPr>
        <w:spacing w:line="500" w:lineRule="atLeast"/>
        <w:ind w:right="240" w:firstLine="480" w:firstLineChars="200"/>
        <w:jc w:val="left"/>
      </w:pPr>
      <w:r>
        <w:rPr>
          <w:rFonts w:hint="eastAsia"/>
        </w:rPr>
        <w:t>（一）质量管理机构</w:t>
      </w:r>
    </w:p>
    <w:p>
      <w:pPr>
        <w:spacing w:line="500" w:lineRule="atLeast"/>
        <w:ind w:right="240" w:firstLine="480" w:firstLineChars="200"/>
        <w:jc w:val="left"/>
      </w:pPr>
      <w:r>
        <w:rPr>
          <w:rFonts w:hint="eastAsia"/>
        </w:rPr>
        <w:t>产品是过程的输出或结果。产品的质量是由过程质量决定的，过程的质量是由质量体系的质量决定的。为确保体系、过程、产品的质量，公司依据质量管理体系标准要求，运用过程方法，识别了所需的过程及其顺序和相互作用，明确过程输入、输出、接口、资源、准则、绩效目标，建立了公司的质量管理体系架构。公司组织机构图：</w:t>
      </w:r>
    </w:p>
    <w:p>
      <w:pPr>
        <w:spacing w:line="500" w:lineRule="atLeast"/>
        <w:ind w:right="240"/>
        <w:jc w:val="left"/>
      </w:pPr>
      <w:r>
        <w:drawing>
          <wp:inline distT="0" distB="0" distL="0" distR="0">
            <wp:extent cx="5172710" cy="2120900"/>
            <wp:effectExtent l="76200" t="0" r="6604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spacing w:line="500" w:lineRule="atLeast"/>
        <w:ind w:right="240" w:firstLine="480" w:firstLineChars="200"/>
        <w:jc w:val="left"/>
      </w:pPr>
    </w:p>
    <w:p>
      <w:pPr>
        <w:spacing w:line="500" w:lineRule="atLeast"/>
        <w:ind w:right="240" w:firstLine="480" w:firstLineChars="200"/>
        <w:jc w:val="left"/>
      </w:pPr>
      <w:r>
        <w:rPr>
          <w:rFonts w:hint="eastAsia"/>
        </w:rPr>
        <w:t>公司总经理履行了如下职责：</w:t>
      </w:r>
    </w:p>
    <w:p>
      <w:pPr>
        <w:spacing w:line="500" w:lineRule="atLeast"/>
        <w:ind w:right="240" w:firstLine="480" w:firstLineChars="200"/>
        <w:jc w:val="left"/>
      </w:pPr>
      <w:r>
        <w:rPr>
          <w:rFonts w:hint="eastAsia"/>
        </w:rPr>
        <w:t>1）参与品质战略的制订、评审确定品质战略；</w:t>
      </w:r>
    </w:p>
    <w:p>
      <w:pPr>
        <w:spacing w:line="500" w:lineRule="atLeast"/>
        <w:ind w:right="240" w:firstLine="480" w:firstLineChars="200"/>
        <w:jc w:val="left"/>
      </w:pPr>
      <w:r>
        <w:rPr>
          <w:rFonts w:hint="eastAsia"/>
        </w:rPr>
        <w:t>2) 向本组织传达满足顾客要求和法律法规要求的重要性；</w:t>
      </w:r>
    </w:p>
    <w:p>
      <w:pPr>
        <w:spacing w:line="500" w:lineRule="atLeast"/>
        <w:ind w:right="240" w:firstLine="480" w:firstLineChars="200"/>
        <w:jc w:val="left"/>
      </w:pPr>
      <w:r>
        <w:rPr>
          <w:rFonts w:hint="eastAsia"/>
        </w:rPr>
        <w:t>3) 制定管理方针；</w:t>
      </w:r>
    </w:p>
    <w:p>
      <w:pPr>
        <w:spacing w:line="500" w:lineRule="atLeast"/>
        <w:ind w:right="240" w:firstLine="480" w:firstLineChars="200"/>
        <w:jc w:val="left"/>
      </w:pPr>
      <w:r>
        <w:rPr>
          <w:rFonts w:hint="eastAsia"/>
        </w:rPr>
        <w:t>4) 确保质量目标的制定；</w:t>
      </w:r>
    </w:p>
    <w:p>
      <w:pPr>
        <w:spacing w:line="500" w:lineRule="atLeast"/>
        <w:ind w:right="240" w:firstLine="480" w:firstLineChars="200"/>
        <w:jc w:val="left"/>
      </w:pPr>
      <w:r>
        <w:rPr>
          <w:rFonts w:hint="eastAsia"/>
        </w:rPr>
        <w:t>4）进行管理评审；</w:t>
      </w:r>
    </w:p>
    <w:p>
      <w:pPr>
        <w:spacing w:line="500" w:lineRule="atLeast"/>
        <w:ind w:right="240" w:firstLine="480" w:firstLineChars="200"/>
        <w:jc w:val="left"/>
      </w:pPr>
      <w:r>
        <w:rPr>
          <w:rFonts w:hint="eastAsia"/>
        </w:rPr>
        <w:t>5）确保资源的获得；</w:t>
      </w:r>
    </w:p>
    <w:p>
      <w:pPr>
        <w:spacing w:line="500" w:lineRule="atLeast"/>
        <w:ind w:right="240" w:firstLine="480" w:firstLineChars="200"/>
        <w:jc w:val="left"/>
      </w:pPr>
      <w:r>
        <w:rPr>
          <w:rFonts w:hint="eastAsia"/>
        </w:rPr>
        <w:t>6）亲自参与每月质量例会；</w:t>
      </w:r>
    </w:p>
    <w:p>
      <w:pPr>
        <w:spacing w:line="500" w:lineRule="atLeast"/>
        <w:ind w:right="240" w:firstLine="480" w:firstLineChars="200"/>
        <w:jc w:val="left"/>
      </w:pPr>
      <w:r>
        <w:rPr>
          <w:rFonts w:hint="eastAsia"/>
        </w:rPr>
        <w:t>7）参与重大产品质量评审和质量改进活动；</w:t>
      </w:r>
    </w:p>
    <w:p>
      <w:pPr>
        <w:spacing w:line="500" w:lineRule="atLeast"/>
        <w:ind w:right="240" w:firstLine="480" w:firstLineChars="200"/>
        <w:jc w:val="left"/>
      </w:pPr>
      <w:r>
        <w:rPr>
          <w:rFonts w:hint="eastAsia"/>
        </w:rPr>
        <w:t xml:space="preserve">8）参与质量表彰活动； </w:t>
      </w:r>
    </w:p>
    <w:p>
      <w:pPr>
        <w:spacing w:line="500" w:lineRule="atLeast"/>
        <w:ind w:right="240" w:firstLine="480" w:firstLineChars="200"/>
        <w:jc w:val="left"/>
      </w:pPr>
      <w:r>
        <w:rPr>
          <w:rFonts w:hint="eastAsia"/>
        </w:rPr>
        <w:t>9）建立明确的质量事故问责制、质量安全追溯制度。</w:t>
      </w:r>
    </w:p>
    <w:p>
      <w:pPr>
        <w:spacing w:line="500" w:lineRule="atLeast"/>
        <w:ind w:right="240" w:firstLine="480" w:firstLineChars="200"/>
        <w:jc w:val="left"/>
      </w:pPr>
    </w:p>
    <w:p>
      <w:pPr>
        <w:spacing w:line="500" w:lineRule="atLeast"/>
        <w:ind w:right="240" w:firstLine="480" w:firstLineChars="200"/>
        <w:jc w:val="left"/>
      </w:pPr>
      <w:r>
        <w:rPr>
          <w:rFonts w:hint="eastAsia"/>
        </w:rPr>
        <w:t>公司同时设立了管理者代表，确定管理者代表的职责和权限：</w:t>
      </w:r>
    </w:p>
    <w:p>
      <w:pPr>
        <w:spacing w:line="500" w:lineRule="atLeast"/>
        <w:ind w:right="240" w:firstLine="480" w:firstLineChars="200"/>
        <w:jc w:val="left"/>
      </w:pPr>
      <w:r>
        <w:rPr>
          <w:rFonts w:hint="eastAsia"/>
        </w:rPr>
        <w:t>1、确保质量环境职业健康安全管理体系的过程得到建立、实施和保持；</w:t>
      </w:r>
    </w:p>
    <w:p>
      <w:pPr>
        <w:spacing w:line="500" w:lineRule="atLeast"/>
        <w:ind w:right="240" w:firstLine="480" w:firstLineChars="200"/>
        <w:jc w:val="left"/>
      </w:pPr>
      <w:r>
        <w:rPr>
          <w:rFonts w:hint="eastAsia"/>
        </w:rPr>
        <w:t>2、向最高管理者报告质量环境职业健康安全管理体系的业绩和任何改进的需求。</w:t>
      </w:r>
    </w:p>
    <w:p>
      <w:pPr>
        <w:spacing w:line="500" w:lineRule="atLeast"/>
        <w:ind w:right="240" w:firstLine="480" w:firstLineChars="200"/>
        <w:jc w:val="left"/>
      </w:pPr>
      <w:r>
        <w:rPr>
          <w:rFonts w:hint="eastAsia"/>
        </w:rPr>
        <w:t xml:space="preserve">3、在整个组织内贯彻环境保护及职业健康安全意识，促进顾客要求意识的形成； </w:t>
      </w:r>
    </w:p>
    <w:p>
      <w:pPr>
        <w:spacing w:line="500" w:lineRule="atLeast"/>
        <w:ind w:right="240" w:firstLine="480" w:firstLineChars="200"/>
        <w:jc w:val="left"/>
      </w:pPr>
      <w:r>
        <w:rPr>
          <w:rFonts w:hint="eastAsia"/>
        </w:rPr>
        <w:t>4、就质量环境职业健康安全管理体系有关事宜对外联络，负责与认证机构联络与协调方面的事项。</w:t>
      </w:r>
    </w:p>
    <w:p>
      <w:pPr>
        <w:spacing w:line="500" w:lineRule="atLeast"/>
        <w:ind w:right="240" w:firstLine="480" w:firstLineChars="200"/>
        <w:jc w:val="left"/>
      </w:pPr>
    </w:p>
    <w:p>
      <w:pPr>
        <w:spacing w:line="500" w:lineRule="atLeast"/>
        <w:ind w:right="240" w:firstLine="480" w:firstLineChars="200"/>
        <w:jc w:val="left"/>
      </w:pPr>
      <w:r>
        <w:rPr>
          <w:rFonts w:hint="eastAsia"/>
        </w:rPr>
        <w:t>（二）质量管理体系</w:t>
      </w:r>
    </w:p>
    <w:p>
      <w:pPr>
        <w:spacing w:line="500" w:lineRule="atLeast"/>
        <w:ind w:right="240" w:firstLine="480" w:firstLineChars="200"/>
        <w:jc w:val="left"/>
      </w:pPr>
      <w:r>
        <w:rPr>
          <w:rFonts w:hint="eastAsia"/>
        </w:rPr>
        <w:t>质量管理体系方针与目标</w:t>
      </w:r>
    </w:p>
    <w:p>
      <w:pPr>
        <w:spacing w:line="500" w:lineRule="atLeast"/>
        <w:ind w:right="240" w:firstLine="480" w:firstLineChars="200"/>
        <w:jc w:val="left"/>
      </w:pPr>
      <w:r>
        <w:rPr>
          <w:rFonts w:hint="eastAsia"/>
        </w:rPr>
        <w:t>公司已建立并持续保持了质量管理体系，制定了“立足顾客需求、打造行业精品、奉献真诚服务、提高管理效益；遵纪守法﹐预防污染；节能降耗﹐持续改进；遵纪守法，以人为本，持续改善，杜绝事故。”的管理方针，并通过手册、布告栏和网络向全体员工和相关方传达管理方针的含义。</w:t>
      </w:r>
    </w:p>
    <w:p>
      <w:pPr>
        <w:spacing w:line="500" w:lineRule="atLeast"/>
        <w:ind w:right="240" w:firstLine="480" w:firstLineChars="200"/>
        <w:jc w:val="left"/>
      </w:pPr>
      <w:r>
        <w:rPr>
          <w:rFonts w:hint="eastAsia"/>
        </w:rPr>
        <w:t>为持续改善公司质量管理体系，公司每年均制定计划，实施质量管理体系内部审核，寻找体系持续改进的机会。同时，公司也会充分利用二方审核、三方审核的机会，改进质量管理体系的有效性。</w:t>
      </w:r>
    </w:p>
    <w:p>
      <w:pPr>
        <w:spacing w:line="500" w:lineRule="atLeast"/>
        <w:ind w:right="240" w:firstLine="480" w:firstLineChars="200"/>
        <w:jc w:val="left"/>
      </w:pPr>
      <w:r>
        <w:rPr>
          <w:rFonts w:hint="eastAsia"/>
        </w:rPr>
        <w:t>通过导入卓越绩效管理模式，推行全面质量管理，使公司质量管理体系从满足标准要求，向追求卓越迈进，建立了以公司战略为核心，以GB/T19580卓越绩效模式为框架的质量管理体系。满足顾客、员工、供应商、社会和合作伙伴五大利益相关方的要求，在公司各层次建立了相应的战略规划、质量目标。以公司绩效考核体系为依托，设立了包含质量指标在内的全面KPI考核和质量问责制。</w:t>
      </w:r>
    </w:p>
    <w:p>
      <w:pPr>
        <w:spacing w:line="500" w:lineRule="atLeast"/>
        <w:ind w:right="240" w:firstLine="480" w:firstLineChars="200"/>
        <w:jc w:val="left"/>
      </w:pPr>
      <w:r>
        <w:rPr>
          <w:rFonts w:hint="eastAsia"/>
        </w:rPr>
        <w:t>2、质量教育</w:t>
      </w:r>
    </w:p>
    <w:p>
      <w:pPr>
        <w:spacing w:line="500" w:lineRule="atLeast"/>
        <w:ind w:right="240" w:firstLine="480" w:firstLineChars="200"/>
        <w:jc w:val="left"/>
      </w:pPr>
      <w:r>
        <w:rPr>
          <w:rFonts w:hint="eastAsia"/>
        </w:rPr>
        <w:t>在体系运行过程中，公司基于PDCA的系统方法，运用各种科学、有效的管理工具，测量、分析、改进质量管理体系的有效性及各部门、各层次的绩效，并采用标杆对比和学习的方式，不断修正个人工作思想和意识，确保实现个人和公司整体目标。公司根据具体情况，开展各项教育培训工作；对外，积极与顾客和政府职能部门及各类培训机构外部进行沟通交流，适时邀请专家对公司员工进行专项培训。公司定期结合体系运行情况和质量实际表现情况，对各级员工开展有针对性的质量教育，对质量控制点进行专项管理，确保制造过程产品质量的一致性。</w:t>
      </w:r>
    </w:p>
    <w:p>
      <w:pPr>
        <w:spacing w:line="500" w:lineRule="atLeast"/>
        <w:ind w:right="240" w:firstLine="480" w:firstLineChars="200"/>
        <w:jc w:val="left"/>
      </w:pPr>
      <w:r>
        <w:rPr>
          <w:rFonts w:hint="eastAsia"/>
        </w:rPr>
        <w:t>为牢固树立全体员工的诚信意识，公司每年制定质量诚信教育培训计划。实行质量诚信教育培训。由公司组织质量诚信教育工作。各部门负责人根据公司要求，编制教育培训计划和内容，认真组织实施下属的教育培训。各班组长负责员工的诚信宣传教育工作。公司通过网站、企业微信群进行传达，利用早会等多种方式对企业员工实施质量诚信教育。公司对在质量诚信教育培训中成绩优异的人员给予一定的奖励，通过培训后在工作岗位上起着模范带头或成绩突出的员工也给予一定奖励，同时在员工中宣传和推广经验。</w:t>
      </w:r>
    </w:p>
    <w:p>
      <w:pPr>
        <w:spacing w:line="500" w:lineRule="atLeast"/>
        <w:ind w:right="240" w:firstLine="480" w:firstLineChars="200"/>
        <w:jc w:val="left"/>
      </w:pPr>
      <w:r>
        <w:rPr>
          <w:rFonts w:hint="eastAsia"/>
        </w:rPr>
        <w:t>3、质量法规及责任制度</w:t>
      </w:r>
    </w:p>
    <w:p>
      <w:pPr>
        <w:spacing w:line="500" w:lineRule="atLeast"/>
        <w:ind w:right="240" w:firstLine="480" w:firstLineChars="200"/>
        <w:jc w:val="left"/>
      </w:pPr>
      <w:r>
        <w:rPr>
          <w:rFonts w:hint="eastAsia"/>
        </w:rPr>
        <w:t>公司通过收集法律法规及其它标准、要求，制定内部相关标准，使产品达到国家法律法规和国家、行业标准和团体标准的要求，从产品技术上践行社会责任。同时，公司制定了年度和月度考核方案等，对产品质量问题进行责罚，遵循对质量事故不放过原则。</w:t>
      </w:r>
    </w:p>
    <w:p>
      <w:pPr>
        <w:spacing w:line="500" w:lineRule="atLeast"/>
        <w:ind w:right="240" w:firstLine="480" w:firstLineChars="200"/>
        <w:jc w:val="left"/>
      </w:pPr>
      <w:r>
        <w:rPr>
          <w:rFonts w:hint="eastAsia"/>
        </w:rPr>
        <w:t>表</w:t>
      </w:r>
      <w:r>
        <w:rPr>
          <w:rFonts w:hint="eastAsia"/>
        </w:rPr>
        <w:fldChar w:fldCharType="begin"/>
      </w:r>
      <w:r>
        <w:rPr>
          <w:rFonts w:hint="eastAsia"/>
        </w:rPr>
        <w:instrText xml:space="preserve">SEQ 表 \* ARABIC</w:instrText>
      </w:r>
      <w:r>
        <w:rPr>
          <w:rFonts w:hint="eastAsia"/>
        </w:rPr>
        <w:fldChar w:fldCharType="separate"/>
      </w:r>
      <w:r>
        <w:t>1</w:t>
      </w:r>
      <w:r>
        <w:rPr>
          <w:rFonts w:hint="eastAsia"/>
        </w:rPr>
        <w:fldChar w:fldCharType="end"/>
      </w:r>
      <w:r>
        <w:rPr>
          <w:rFonts w:hint="eastAsia"/>
        </w:rPr>
        <w:t>公司所遵守的质量标准和其他相关法律</w:t>
      </w:r>
    </w:p>
    <w:tbl>
      <w:tblPr>
        <w:tblStyle w:val="6"/>
        <w:tblW w:w="8522"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086"/>
        <w:gridCol w:w="643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blHeader/>
        </w:trPr>
        <w:tc>
          <w:tcPr>
            <w:tcW w:w="2086" w:type="dxa"/>
            <w:tcBorders>
              <w:top w:val="single" w:color="000000" w:sz="12" w:space="0"/>
            </w:tcBorders>
            <w:vAlign w:val="center"/>
          </w:tcPr>
          <w:p>
            <w:pPr>
              <w:spacing w:line="500" w:lineRule="atLeast"/>
              <w:ind w:right="240" w:firstLine="480" w:firstLineChars="200"/>
              <w:jc w:val="left"/>
            </w:pPr>
            <w:r>
              <w:rPr>
                <w:rFonts w:hint="eastAsia"/>
              </w:rPr>
              <w:t>类 别</w:t>
            </w:r>
          </w:p>
        </w:tc>
        <w:tc>
          <w:tcPr>
            <w:tcW w:w="6436" w:type="dxa"/>
            <w:tcBorders>
              <w:top w:val="single" w:color="000000" w:sz="12" w:space="0"/>
            </w:tcBorders>
            <w:vAlign w:val="center"/>
          </w:tcPr>
          <w:p>
            <w:pPr>
              <w:spacing w:line="500" w:lineRule="atLeast"/>
              <w:ind w:right="240" w:firstLine="480" w:firstLineChars="200"/>
              <w:jc w:val="left"/>
            </w:pPr>
            <w:r>
              <w:rPr>
                <w:rFonts w:hint="eastAsia"/>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086" w:type="dxa"/>
            <w:vAlign w:val="center"/>
          </w:tcPr>
          <w:p>
            <w:pPr>
              <w:spacing w:line="500" w:lineRule="atLeast"/>
              <w:ind w:right="240"/>
              <w:jc w:val="left"/>
            </w:pPr>
            <w:r>
              <w:rPr>
                <w:rFonts w:hint="eastAsia"/>
              </w:rPr>
              <w:t>员工权益</w:t>
            </w:r>
          </w:p>
          <w:p>
            <w:pPr>
              <w:spacing w:line="500" w:lineRule="atLeast"/>
              <w:ind w:right="240"/>
              <w:jc w:val="left"/>
            </w:pPr>
            <w:r>
              <w:rPr>
                <w:rFonts w:hint="eastAsia"/>
              </w:rPr>
              <w:t>社会责任</w:t>
            </w:r>
          </w:p>
        </w:tc>
        <w:tc>
          <w:tcPr>
            <w:tcW w:w="6436" w:type="dxa"/>
          </w:tcPr>
          <w:p>
            <w:pPr>
              <w:spacing w:line="500" w:lineRule="atLeast"/>
              <w:ind w:right="240" w:firstLine="480" w:firstLineChars="200"/>
              <w:jc w:val="left"/>
            </w:pPr>
            <w:r>
              <w:rPr>
                <w:rFonts w:hint="eastAsia"/>
              </w:rPr>
              <w:t>《劳动法》、《工会法》、《消费者权益保护法》、《环境保护法》、《安全生产法》、《职业病防治法》、ISO9001、ISO14001 、ISO45001等标准。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086" w:type="dxa"/>
            <w:tcBorders>
              <w:bottom w:val="single" w:color="000000" w:sz="12" w:space="0"/>
            </w:tcBorders>
            <w:vAlign w:val="center"/>
          </w:tcPr>
          <w:p>
            <w:pPr>
              <w:spacing w:line="500" w:lineRule="atLeast"/>
              <w:ind w:right="240"/>
              <w:jc w:val="left"/>
            </w:pPr>
            <w:r>
              <w:rPr>
                <w:rFonts w:hint="eastAsia"/>
              </w:rPr>
              <w:t>产品标准</w:t>
            </w:r>
          </w:p>
        </w:tc>
        <w:tc>
          <w:tcPr>
            <w:tcW w:w="6436" w:type="dxa"/>
            <w:tcBorders>
              <w:bottom w:val="single" w:color="000000" w:sz="12" w:space="0"/>
            </w:tcBorders>
          </w:tcPr>
          <w:p>
            <w:pPr>
              <w:spacing w:line="500" w:lineRule="atLeast"/>
              <w:ind w:right="240" w:firstLine="480" w:firstLineChars="200"/>
              <w:jc w:val="left"/>
            </w:pPr>
            <w:r>
              <w:rPr>
                <w:rFonts w:hint="eastAsia"/>
              </w:rPr>
              <w:t>主要执行国家标准和行业标准及国际标准；</w:t>
            </w:r>
            <w:r>
              <w:rPr>
                <w:rFonts w:hint="eastAsia"/>
                <w:lang w:val="en-US" w:eastAsia="zh-CN"/>
              </w:rPr>
              <w:t>已</w:t>
            </w:r>
            <w:bookmarkStart w:id="6" w:name="_GoBack"/>
            <w:bookmarkEnd w:id="6"/>
            <w:r>
              <w:rPr>
                <w:rFonts w:hint="eastAsia"/>
              </w:rPr>
              <w:t>获得浙江制造认证的产品执行“浙江制造”团体标准。</w:t>
            </w:r>
          </w:p>
        </w:tc>
      </w:tr>
    </w:tbl>
    <w:p>
      <w:pPr>
        <w:spacing w:line="500" w:lineRule="atLeast"/>
        <w:ind w:right="240" w:firstLine="480" w:firstLineChars="200"/>
        <w:jc w:val="left"/>
      </w:pPr>
      <w:r>
        <w:rPr>
          <w:rFonts w:hint="eastAsia"/>
        </w:rPr>
        <w:t>公司制定了《内部审核控制程序》，并培养了内审员团队。为确保体系运行的有效性和持续改进，安排内审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500" w:lineRule="atLeast"/>
        <w:ind w:right="240" w:firstLine="480" w:firstLineChars="200"/>
        <w:jc w:val="left"/>
      </w:pPr>
      <w:r>
        <w:rPr>
          <w:rFonts w:hint="eastAsia"/>
        </w:rPr>
        <w:t>公司制定了《不合格品控制程序》、《改进控制程序》，对不合格品进行了严格管控。公司制定了检验标准，产品经过检验检测合格后方可流入下道工序或出厂。任何不合格产品均有明确的标识、记录、隔离和处理等要求，各种不合格产品必须经过重新检验合格后才能进入下道工序。</w:t>
      </w:r>
    </w:p>
    <w:p>
      <w:pPr>
        <w:spacing w:line="500" w:lineRule="atLeast"/>
        <w:ind w:right="240" w:firstLine="480" w:firstLineChars="200"/>
        <w:jc w:val="left"/>
      </w:pPr>
      <w:r>
        <w:rPr>
          <w:rFonts w:hint="eastAsia"/>
        </w:rPr>
        <w:t>同时，对于所有出现的不合格，均有详细记录，并由专人进行统计分析后，由责任部门依据《改进控制程序》制定纠正措施并进行整改，评估纠正措施有效之后方能关闭问题项。</w:t>
      </w:r>
    </w:p>
    <w:p>
      <w:pPr>
        <w:spacing w:line="500" w:lineRule="atLeast"/>
        <w:ind w:right="240" w:firstLine="480" w:firstLineChars="200"/>
        <w:jc w:val="left"/>
      </w:pPr>
      <w:r>
        <w:rPr>
          <w:rFonts w:hint="eastAsia"/>
        </w:rPr>
        <w:t>此外，公司对出现的质量问题进行问责和教育，并在日常开发、生产作业中，强调标准化，通过品管圈、持续改善等活动及质量功能展开，充分应用PDCA循环，持续改善，追求卓越。</w:t>
      </w:r>
    </w:p>
    <w:p>
      <w:pPr>
        <w:spacing w:line="500" w:lineRule="atLeast"/>
        <w:ind w:right="240" w:firstLine="480" w:firstLineChars="200"/>
        <w:jc w:val="left"/>
      </w:pPr>
      <w:r>
        <w:rPr>
          <w:rFonts w:hint="eastAsia"/>
        </w:rPr>
        <w:t>（三）质量安全风险管理</w:t>
      </w:r>
    </w:p>
    <w:p>
      <w:pPr>
        <w:spacing w:line="500" w:lineRule="atLeast"/>
        <w:ind w:right="240" w:firstLine="480" w:firstLineChars="200"/>
        <w:jc w:val="left"/>
      </w:pPr>
      <w:r>
        <w:rPr>
          <w:rFonts w:hint="eastAsia"/>
        </w:rPr>
        <w:t>公司所有产品和过程，均按ISO9001：2015要求按过程方法进行产品的设计和开发，运用风险分析等方法，进行产品生命周期的风险分析，根据管理手册的要求对包括产品质量安全风险在内的各项风险和机遇进行识别和评价，采取必要的措施，降低风险。并编制工艺流程图、生产工艺规程、作业指导书等文件，对每项产品要求和过程环节进行风险分析。做到每一个环节严格控制，严格把关，确保所有产品生产都符合相关要求，确保最终产品质量的合格。</w:t>
      </w:r>
    </w:p>
    <w:p>
      <w:pPr>
        <w:spacing w:line="500" w:lineRule="atLeast"/>
        <w:ind w:right="240" w:firstLine="480" w:firstLineChars="200"/>
        <w:jc w:val="left"/>
      </w:pPr>
      <w:r>
        <w:rPr>
          <w:rFonts w:hint="eastAsia"/>
        </w:rPr>
        <w:t xml:space="preserve">管理手册和程序文件已明确对需要确认的过程进行确认和再确认的要求，以确保过程实现策划结果的能力。 </w:t>
      </w:r>
    </w:p>
    <w:p>
      <w:pPr>
        <w:spacing w:line="500" w:lineRule="atLeast"/>
        <w:ind w:right="240" w:firstLine="480" w:firstLineChars="200"/>
        <w:jc w:val="left"/>
      </w:pPr>
      <w:r>
        <w:rPr>
          <w:rFonts w:hint="eastAsia"/>
        </w:rPr>
        <w:t>在工序，对产品质量进行严格把控。在整个流程中，由质检部、技术部进行检验活动，如进货检验、过程检验、最终检验，进行层层把关。并根据需要，开展质量管理体系审核等工作。</w:t>
      </w:r>
    </w:p>
    <w:p>
      <w:pPr>
        <w:spacing w:line="500" w:lineRule="atLeast"/>
        <w:ind w:right="240" w:firstLine="480" w:firstLineChars="200"/>
        <w:jc w:val="left"/>
      </w:pPr>
      <w:r>
        <w:rPr>
          <w:rFonts w:hint="eastAsia"/>
        </w:rPr>
        <w:t>公司在质量管理和控制上，建立了评审放行制度，防范质量安全风险。公司制定了质量安全应急制度，成立了以总经理为组长，质检部、技术部主管担任副组长，质检部、技术部、业务部、采购部、生产部等主管为组员的应急领导小组。并明确了应急领导小组及各相关部门职责。</w:t>
      </w:r>
    </w:p>
    <w:p>
      <w:pPr>
        <w:spacing w:line="500" w:lineRule="atLeast"/>
        <w:ind w:right="240" w:firstLine="480" w:firstLineChars="200"/>
        <w:jc w:val="left"/>
      </w:pPr>
      <w:r>
        <w:rPr>
          <w:rFonts w:hint="eastAsia"/>
        </w:rPr>
        <w:t>公司为快速反应，有效的降低风险，建立了风险分析评估有关文件，防范和降低质量安全风险。</w:t>
      </w:r>
    </w:p>
    <w:p>
      <w:pPr>
        <w:spacing w:line="500" w:lineRule="atLeast"/>
        <w:ind w:right="240" w:firstLine="480" w:firstLineChars="200"/>
        <w:jc w:val="left"/>
      </w:pPr>
      <w:r>
        <w:rPr>
          <w:rFonts w:hint="eastAsia"/>
        </w:rPr>
        <w:t>下图为风险管理流程图。</w:t>
      </w:r>
    </w:p>
    <w:p>
      <w:pPr>
        <w:spacing w:line="500" w:lineRule="atLeast"/>
        <w:ind w:right="240" w:firstLine="480" w:firstLineChars="200"/>
        <w:jc w:val="left"/>
      </w:pPr>
    </w:p>
    <w:p>
      <w:pPr>
        <w:spacing w:line="500" w:lineRule="atLeast"/>
        <w:ind w:right="240" w:firstLine="480" w:firstLineChars="200"/>
        <w:jc w:val="left"/>
      </w:pPr>
      <w:r>
        <w:drawing>
          <wp:inline distT="0" distB="0" distL="0" distR="0">
            <wp:extent cx="3479800" cy="4381500"/>
            <wp:effectExtent l="19050" t="0" r="6350" b="0"/>
            <wp:docPr id="1" name="图片 14" descr="http://www.china-medicines.com/images/image/201407141037051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http://www.china-medicines.com/images/image/2014071410370513513.jpg"/>
                    <pic:cNvPicPr>
                      <a:picLocks noChangeAspect="1" noChangeArrowheads="1"/>
                    </pic:cNvPicPr>
                  </pic:nvPicPr>
                  <pic:blipFill>
                    <a:blip r:embed="rId12"/>
                    <a:srcRect/>
                    <a:stretch>
                      <a:fillRect/>
                    </a:stretch>
                  </pic:blipFill>
                  <pic:spPr>
                    <a:xfrm>
                      <a:off x="0" y="0"/>
                      <a:ext cx="3479800" cy="4381500"/>
                    </a:xfrm>
                    <a:prstGeom prst="rect">
                      <a:avLst/>
                    </a:prstGeom>
                    <a:noFill/>
                    <a:ln w="9525">
                      <a:noFill/>
                      <a:miter lim="800000"/>
                      <a:headEnd/>
                      <a:tailEnd/>
                    </a:ln>
                    <a:effectLst/>
                  </pic:spPr>
                </pic:pic>
              </a:graphicData>
            </a:graphic>
          </wp:inline>
        </w:drawing>
      </w:r>
      <w:r>
        <w:rPr>
          <w:rFonts w:hint="eastAsia"/>
        </w:rPr>
        <w:t> </w:t>
      </w:r>
    </w:p>
    <w:p>
      <w:pPr>
        <w:spacing w:line="500" w:lineRule="atLeast"/>
        <w:ind w:right="240" w:firstLine="480" w:firstLineChars="200"/>
        <w:jc w:val="left"/>
      </w:pPr>
      <w:bookmarkStart w:id="3" w:name="_Toc451594568"/>
      <w:r>
        <w:rPr>
          <w:rFonts w:hint="eastAsia"/>
        </w:rPr>
        <w:t>四、质量诚信管理</w:t>
      </w:r>
      <w:bookmarkEnd w:id="3"/>
    </w:p>
    <w:p>
      <w:pPr>
        <w:spacing w:line="500" w:lineRule="atLeast"/>
        <w:ind w:right="240" w:firstLine="480" w:firstLineChars="200"/>
        <w:jc w:val="left"/>
      </w:pPr>
      <w:r>
        <w:rPr>
          <w:rFonts w:hint="eastAsia"/>
        </w:rPr>
        <w:t>（一） 质量承诺</w:t>
      </w:r>
    </w:p>
    <w:p>
      <w:pPr>
        <w:spacing w:line="500" w:lineRule="atLeast"/>
        <w:ind w:right="240" w:firstLine="480" w:firstLineChars="200"/>
        <w:jc w:val="left"/>
      </w:pPr>
      <w:r>
        <w:rPr>
          <w:rFonts w:hint="eastAsia"/>
        </w:rPr>
        <w:t>1）诚信守法</w:t>
      </w:r>
    </w:p>
    <w:p>
      <w:pPr>
        <w:spacing w:line="500" w:lineRule="atLeast"/>
        <w:ind w:right="240" w:firstLine="480" w:firstLineChars="200"/>
        <w:jc w:val="left"/>
      </w:pPr>
      <w:r>
        <w:rPr>
          <w:rFonts w:hint="eastAsia"/>
        </w:rPr>
        <w:t xml:space="preserve">高层领导遵循“诚实守信、创新发展”的核心价值观，严格遵循《公司法》、《民法典》、《产品质量法》、《安全生产法》、《环保法》、《劳动法》以及相关法律法规和标准，并建立实施了质量、环境、职业健康安全管理体系。公司实施了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供方、员工、社会中树立了良好的信用道德形象。 </w:t>
      </w:r>
    </w:p>
    <w:p>
      <w:pPr>
        <w:spacing w:line="500" w:lineRule="atLeast"/>
        <w:ind w:right="240" w:firstLine="480" w:firstLineChars="200"/>
        <w:jc w:val="left"/>
      </w:pPr>
      <w:r>
        <w:rPr>
          <w:rFonts w:hint="eastAsia"/>
        </w:rPr>
        <w:t>2）满足客户需求</w:t>
      </w:r>
    </w:p>
    <w:p>
      <w:pPr>
        <w:spacing w:line="500" w:lineRule="atLeast"/>
        <w:ind w:right="240" w:firstLine="480" w:firstLineChars="200"/>
        <w:jc w:val="left"/>
      </w:pPr>
      <w:r>
        <w:rPr>
          <w:rFonts w:hint="eastAsia"/>
        </w:rPr>
        <w:t>公司高度重视技术研发，通过自主研发，开发了系列钢丝刷（含钢丝轮刷、扭丝刷等）产品，提升产品质量，以较高的性价比为客户提供高水平的产品。公司加强研发力量的投入，以客户需求为中心，积极听取客户关于功能、质量、成本等方面的意见和建议，开展产品改进和创新活动，满足客户对产品和交期的需求。在产品质量方面，公司严格执行质量管理体系的相关要求，通过开展技术攻关、质量改进、提案改善小组等活动，保障产品质量安全。</w:t>
      </w:r>
    </w:p>
    <w:p>
      <w:pPr>
        <w:spacing w:line="500" w:lineRule="atLeast"/>
        <w:ind w:right="240" w:firstLine="480" w:firstLineChars="200"/>
        <w:jc w:val="left"/>
      </w:pPr>
      <w:r>
        <w:rPr>
          <w:rFonts w:hint="eastAsia"/>
        </w:rPr>
        <w:t>多年来，公司在整个经营活动中，严格遵守与各有关方签订的保密协议，获得了客户的高度评价，并经常被顾客约请参与顾客新项目的开发工作。</w:t>
      </w:r>
    </w:p>
    <w:p>
      <w:pPr>
        <w:spacing w:line="500" w:lineRule="atLeast"/>
        <w:ind w:right="240" w:firstLine="480" w:firstLineChars="200"/>
        <w:jc w:val="left"/>
      </w:pPr>
      <w:r>
        <w:rPr>
          <w:rFonts w:hint="eastAsia"/>
        </w:rPr>
        <w:t>（二）运作管理</w:t>
      </w:r>
    </w:p>
    <w:p>
      <w:pPr>
        <w:spacing w:line="500" w:lineRule="atLeast"/>
        <w:ind w:right="240" w:firstLine="480" w:firstLineChars="200"/>
        <w:jc w:val="left"/>
      </w:pPr>
      <w:r>
        <w:rPr>
          <w:rFonts w:hint="eastAsia"/>
        </w:rPr>
        <w:t>1）产品设计诚信管理</w:t>
      </w:r>
    </w:p>
    <w:p>
      <w:pPr>
        <w:spacing w:line="500" w:lineRule="atLeast"/>
        <w:ind w:right="240" w:firstLine="480" w:firstLineChars="200"/>
        <w:jc w:val="left"/>
      </w:pPr>
      <w:r>
        <w:rPr>
          <w:rFonts w:hint="eastAsia"/>
        </w:rPr>
        <w:t xml:space="preserve">公司严格依照ISO9001：2015  8.3的相关要求控制产品设计与研发活动，从研发立项、项目策划、输入评审、设计验证、评审和确认、设计过程各类活动记录、研发过程总结、设计变更控制等覆盖研发相关的整个过程。尊重他人知识和参与践行保护知识产权是我司设计开发工作的重要内容之一。 </w:t>
      </w:r>
    </w:p>
    <w:p>
      <w:pPr>
        <w:spacing w:line="500" w:lineRule="atLeast"/>
        <w:ind w:right="240" w:firstLine="480" w:firstLineChars="200"/>
        <w:jc w:val="left"/>
      </w:pPr>
      <w:r>
        <w:rPr>
          <w:rFonts w:hint="eastAsia"/>
        </w:rPr>
        <w:t>2）原材料或零部件采购诚信管理</w:t>
      </w:r>
    </w:p>
    <w:p>
      <w:pPr>
        <w:spacing w:line="500" w:lineRule="atLeast"/>
        <w:ind w:right="240" w:firstLine="480" w:firstLineChars="200"/>
        <w:jc w:val="left"/>
      </w:pPr>
      <w:r>
        <w:rPr>
          <w:rFonts w:hint="eastAsia"/>
        </w:rPr>
        <w:t>公司根据物料对产品质量构成的风险程度，将物料分类管理。对物料供应商，除了必须符合法定的资质外，必要时进行现场查验。并对物料供应商应当建立质量档案。对采购的原材料进行检验，凡未达到规定标准的原材料一律不得入库使用。</w:t>
      </w:r>
    </w:p>
    <w:p>
      <w:pPr>
        <w:spacing w:line="500" w:lineRule="atLeast"/>
        <w:ind w:right="240" w:firstLine="480" w:firstLineChars="200"/>
        <w:jc w:val="left"/>
      </w:pPr>
      <w:r>
        <w:rPr>
          <w:rFonts w:hint="eastAsia"/>
        </w:rPr>
        <w:t>3）生产过程诚信管理</w:t>
      </w:r>
    </w:p>
    <w:p>
      <w:pPr>
        <w:spacing w:line="500" w:lineRule="atLeast"/>
        <w:ind w:right="240" w:firstLine="480" w:firstLineChars="200"/>
        <w:jc w:val="left"/>
      </w:pPr>
      <w:r>
        <w:rPr>
          <w:rFonts w:hint="eastAsia"/>
        </w:rPr>
        <w:t>公司生产部具体负责生产管理和现场流程管理工作。制定并逐步完善了各种生产管理制度、工作标准、岗位操作规程和各类工艺规程、管理规程、标准操作规程。采用车间集中培训和班前、班后会对各岗位操作人员进行全面的岗位技能培训，并采用多种方式进行督查、考核，增强员工质量意识，提高操作水平，在生产过程中，各级管理人员严格履行管理职责，及时检查，及时纠正差错，保证生产秩序的稳定。</w:t>
      </w:r>
    </w:p>
    <w:p>
      <w:pPr>
        <w:spacing w:line="500" w:lineRule="atLeast"/>
        <w:ind w:right="240" w:firstLine="480" w:firstLineChars="200"/>
        <w:jc w:val="left"/>
      </w:pPr>
      <w:r>
        <w:rPr>
          <w:rFonts w:hint="eastAsia"/>
        </w:rPr>
        <w:t>对生产所需的原料、辅料、包装材料进行投料前复核，把好中间产品、成品的质量，严格执行“不生产不合格品，不接收不合格品，不流转不合格品”的“三不原则”，对关键工序设质量控制点，制定了各项工序的作业指导书。 由生产部对每一生产步骤进行物料平衡管理，保证物料的投入和产品的产出数量与工艺要求相一致，确认无潜在质量隐患，符合账、物、卡一致的要求。</w:t>
      </w:r>
    </w:p>
    <w:p>
      <w:pPr>
        <w:spacing w:line="500" w:lineRule="atLeast"/>
        <w:ind w:right="240" w:firstLine="480" w:firstLineChars="200"/>
        <w:jc w:val="left"/>
      </w:pPr>
      <w:r>
        <w:rPr>
          <w:rFonts w:hint="eastAsia"/>
        </w:rPr>
        <w:t>各过程的生产记录和质量记录按文件和记录控制程序和记录控制程序要求进行管理。员工严格按要求操作，并填写生产记录，做到字迹清晰、内容真实、数据完整，操作人及复核人签名确认。生产结束后，部门主管把记录汇总、复核，及时上交主管部门，经主管部门审核无误后，按批号整理归档，由专人管理。</w:t>
      </w:r>
    </w:p>
    <w:p>
      <w:pPr>
        <w:spacing w:line="500" w:lineRule="atLeast"/>
        <w:ind w:right="240" w:firstLine="480" w:firstLineChars="200"/>
        <w:jc w:val="left"/>
      </w:pPr>
      <w:r>
        <w:rPr>
          <w:rFonts w:hint="eastAsia"/>
        </w:rPr>
        <w:t>公司根据行业特点及实际情况，通过两化融合管理活动，加强生产过程的信息化建设水平，应用信息管理系统对整个生产过程进行数据采集和监控，对公司钢丝刷（含钢丝轮刷、扭丝刷等）生产过程实行信息化管理。同时，挖掘内部潜力，发挥技术骨干人员的力量，开展对现有设备进行持续性改造或科技创新工作，成立技术攻关小组，对薄弱环节进行技术攻关，完成了多项技术攻关工作和防错设计及自动化设计制作；生产员工上岗前要经过培训及考核，建立全员培训档案，通过集中培训、班前会培训、“传、帮、带”、目视化等多种方式进行培训，强化其工作技能和质量意识。生产员工严格遵守车间纪律。</w:t>
      </w:r>
    </w:p>
    <w:p>
      <w:pPr>
        <w:spacing w:line="500" w:lineRule="atLeast"/>
        <w:ind w:right="240" w:firstLine="480" w:firstLineChars="200"/>
        <w:jc w:val="left"/>
      </w:pPr>
    </w:p>
    <w:p>
      <w:pPr>
        <w:spacing w:line="500" w:lineRule="atLeast"/>
        <w:ind w:right="240" w:firstLine="480" w:firstLineChars="200"/>
        <w:jc w:val="left"/>
      </w:pPr>
      <w:r>
        <w:rPr>
          <w:rFonts w:hint="eastAsia"/>
        </w:rPr>
        <w:t>（三）营销管理</w:t>
      </w:r>
    </w:p>
    <w:p>
      <w:pPr>
        <w:spacing w:line="500" w:lineRule="atLeast"/>
        <w:ind w:right="240" w:firstLine="480" w:firstLineChars="200"/>
        <w:jc w:val="left"/>
      </w:pPr>
      <w:r>
        <w:rPr>
          <w:rFonts w:hint="eastAsia"/>
        </w:rPr>
        <w:t>公司根据战略要求，对市场和顾客进行细分，以提高资源和运作的有效性和针对性。针对不同类型顾客确定顾客的需求与期望，针对其需求与期望来确定适当的方法，建立相应的体系与团队，建立各种渠道和方法，针对性的进行顾客需求与期望的了解。</w:t>
      </w:r>
    </w:p>
    <w:p>
      <w:pPr>
        <w:spacing w:line="500" w:lineRule="atLeast"/>
        <w:ind w:right="240" w:firstLine="480" w:firstLineChars="200"/>
        <w:jc w:val="left"/>
      </w:pPr>
      <w:r>
        <w:rPr>
          <w:rFonts w:hint="eastAsia"/>
        </w:rPr>
        <w:t>公司通过行业展会、行业会议、行业标委会、公共媒体、互联网、外部机构等渠道，以问卷调查、面对面或电话访谈、观察查询、外部委托等方法，了解客户的需求和期望。</w:t>
      </w:r>
    </w:p>
    <w:p>
      <w:pPr>
        <w:spacing w:line="500" w:lineRule="atLeast"/>
        <w:ind w:right="240" w:firstLine="480" w:firstLineChars="200"/>
        <w:jc w:val="left"/>
      </w:pPr>
      <w:r>
        <w:rPr>
          <w:rFonts w:hint="eastAsia"/>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spacing w:line="500" w:lineRule="atLeast"/>
        <w:ind w:right="240" w:firstLine="480" w:firstLineChars="200"/>
        <w:jc w:val="left"/>
      </w:pPr>
      <w:r>
        <w:rPr>
          <w:rFonts w:hint="eastAsia"/>
        </w:rPr>
        <w:t>公司树立“以客户需求为导向”的服务理念，要求业务人员对于任何一位客户，不论成交与否，都要做到热情、周到，都要尽量满足他们的所有合理需求。制订了顾客满意和服务控制程序等相关制度，对合同评审进行规范，从各方面增加业务人员的技能和素质，提升了顾客满意率。</w:t>
      </w:r>
    </w:p>
    <w:p>
      <w:pPr>
        <w:spacing w:line="500" w:lineRule="atLeast"/>
        <w:ind w:right="240" w:firstLine="480" w:firstLineChars="200"/>
        <w:jc w:val="left"/>
      </w:pPr>
      <w:r>
        <w:rPr>
          <w:rFonts w:hint="eastAsia"/>
        </w:rPr>
        <w:t>公司建立顾客回访制度，及时了解顾客需求和满意情况，以提升顾客满意度。</w:t>
      </w:r>
    </w:p>
    <w:p>
      <w:pPr>
        <w:spacing w:line="500" w:lineRule="atLeast"/>
        <w:ind w:right="240" w:firstLine="480" w:firstLineChars="200"/>
        <w:jc w:val="left"/>
      </w:pPr>
      <w:r>
        <w:rPr>
          <w:rFonts w:hint="eastAsia"/>
        </w:rPr>
        <w:t>公司建立及时反馈处理用户投诉意见的快速反应机制解决问题的规定。对顾客的投诉意见，在顾客要求时间内完成原因分析，制定和实施纠正措施并反馈客户。</w:t>
      </w:r>
    </w:p>
    <w:p>
      <w:pPr>
        <w:spacing w:line="500" w:lineRule="atLeast"/>
        <w:ind w:right="240" w:firstLine="480" w:firstLineChars="200"/>
        <w:jc w:val="left"/>
      </w:pPr>
      <w:bookmarkStart w:id="4" w:name="_Toc451594569"/>
      <w:r>
        <w:rPr>
          <w:rFonts w:hint="eastAsia"/>
        </w:rPr>
        <w:t>五、质量管理基础</w:t>
      </w:r>
      <w:bookmarkEnd w:id="4"/>
    </w:p>
    <w:p>
      <w:pPr>
        <w:spacing w:line="500" w:lineRule="atLeast"/>
        <w:ind w:right="240" w:firstLine="480" w:firstLineChars="200"/>
        <w:jc w:val="left"/>
      </w:pPr>
      <w:r>
        <w:rPr>
          <w:rFonts w:hint="eastAsia"/>
        </w:rPr>
        <w:t>（一）标准管理</w:t>
      </w:r>
    </w:p>
    <w:p>
      <w:pPr>
        <w:spacing w:line="500" w:lineRule="atLeast"/>
        <w:ind w:right="240" w:firstLine="480" w:firstLineChars="200"/>
        <w:jc w:val="left"/>
      </w:pPr>
      <w:r>
        <w:rPr>
          <w:rFonts w:hint="eastAsia"/>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500" w:lineRule="atLeast"/>
        <w:ind w:right="240" w:firstLine="480" w:firstLineChars="200"/>
        <w:jc w:val="left"/>
      </w:pPr>
      <w:r>
        <w:rPr>
          <w:rFonts w:hint="eastAsia"/>
        </w:rPr>
        <w:t>（二）计量管理</w:t>
      </w:r>
    </w:p>
    <w:p>
      <w:pPr>
        <w:spacing w:line="500" w:lineRule="atLeast"/>
        <w:ind w:right="240" w:firstLine="480" w:firstLineChars="200"/>
        <w:jc w:val="left"/>
      </w:pPr>
      <w:r>
        <w:rPr>
          <w:rFonts w:hint="eastAsia"/>
        </w:rPr>
        <w:t>公司严格执行中华人民共和国计量法、产品质量法等法规，从原材料采购、过程管理、生产设备、检验设备、工序检验、成品检验等环节建立了一整套管理文件和控制方法。设有计量人员负责公司的在用计量设备管理、配备和定期校检工作，注重对计量管理人员的专业培训，为公司的计量管理的规范化提供了有力的保障。</w:t>
      </w:r>
    </w:p>
    <w:p>
      <w:pPr>
        <w:spacing w:line="500" w:lineRule="atLeast"/>
        <w:ind w:right="240" w:firstLine="480" w:firstLineChars="200"/>
        <w:jc w:val="left"/>
      </w:pPr>
      <w:r>
        <w:rPr>
          <w:rFonts w:hint="eastAsia"/>
        </w:rPr>
        <w:t>为确保产品质量，在产品生产工艺中严格过程控制，对生产工艺过程中的原辅材料等加强计量管理，确保计量设备的正常运行和计量的准确性。</w:t>
      </w:r>
    </w:p>
    <w:p>
      <w:pPr>
        <w:spacing w:line="500" w:lineRule="atLeast"/>
        <w:ind w:right="240" w:firstLine="480" w:firstLineChars="200"/>
        <w:jc w:val="left"/>
      </w:pPr>
      <w:r>
        <w:rPr>
          <w:rFonts w:hint="eastAsia"/>
        </w:rPr>
        <w:t>对计量器具从采购、入库出库严格按照审批计划和管理程序执行，仓库有专人保管计量器具，建立台帐和登记手续，计量器具的领用出库必须通过检定或校准，有检定/校准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spacing w:line="500" w:lineRule="atLeast"/>
        <w:ind w:right="240" w:firstLine="480" w:firstLineChars="200"/>
        <w:jc w:val="left"/>
      </w:pPr>
    </w:p>
    <w:p>
      <w:pPr>
        <w:spacing w:line="500" w:lineRule="atLeast"/>
        <w:ind w:right="240" w:firstLine="480" w:firstLineChars="200"/>
        <w:jc w:val="left"/>
      </w:pPr>
      <w:r>
        <w:rPr>
          <w:rFonts w:hint="eastAsia"/>
        </w:rPr>
        <w:t>（三）认证管理</w:t>
      </w:r>
    </w:p>
    <w:p>
      <w:pPr>
        <w:spacing w:line="500" w:lineRule="atLeast"/>
        <w:ind w:right="240" w:firstLine="480" w:firstLineChars="200"/>
        <w:jc w:val="left"/>
      </w:pPr>
      <w:r>
        <w:rPr>
          <w:rFonts w:hint="eastAsia"/>
        </w:rPr>
        <w:t>目前公司已通过了质量管理体系认证，正在进行“浙江制造”产品认证贯标活动，公司严格按国际管理体系标准要求策划和运行改进体系，使企业产品的质量得到有力的保障，从而使企业“立足顾客需求、打造行业精品、奉献真诚服务、提高管理效益；遵纪守法﹐预防污染；节能降耗﹐持续改进；遵纪守法，以人为本，持续改善，杜绝事故。”的管理方针得以顺利推行。自公司成立以来， 从未出现过重大质量投诉，在历年接受各级质量技术监督部门的抽检中，未出现不合格情况。</w:t>
      </w:r>
    </w:p>
    <w:p>
      <w:pPr>
        <w:spacing w:line="500" w:lineRule="atLeast"/>
        <w:ind w:right="240" w:firstLine="480" w:firstLineChars="200"/>
        <w:jc w:val="left"/>
      </w:pPr>
      <w:r>
        <w:rPr>
          <w:rFonts w:hint="eastAsia"/>
        </w:rPr>
        <w:t>（四）检验检测管理</w:t>
      </w:r>
    </w:p>
    <w:p>
      <w:pPr>
        <w:spacing w:line="500" w:lineRule="atLeast"/>
        <w:ind w:right="240" w:firstLine="480" w:firstLineChars="200"/>
        <w:jc w:val="left"/>
      </w:pPr>
      <w:r>
        <w:rPr>
          <w:rFonts w:hint="eastAsia"/>
        </w:rPr>
        <w:t>公司通过对进货的检验，以保证采购部采购的原辅材料符合规定的要求。质检部、技术部负责编制进货检验规程，负责原辅材料进货的检验；采购部负责不合格原辅材料的处理；仓库负责点收原辅材料的进货数量、名称等。</w:t>
      </w:r>
    </w:p>
    <w:p>
      <w:pPr>
        <w:spacing w:line="500" w:lineRule="atLeast"/>
        <w:ind w:right="240" w:firstLine="480" w:firstLineChars="200"/>
        <w:jc w:val="left"/>
        <w:rPr>
          <w:sz w:val="20"/>
          <w:szCs w:val="20"/>
        </w:rPr>
      </w:pPr>
      <w:r>
        <w:rPr>
          <w:rFonts w:hint="eastAsia"/>
        </w:rPr>
        <w:t>为保证所有产品在生产过程中都通过规定的检验后才能进入下一道工序，公司制定检验和试验控制程序、不合格品控制程序、各工序检验规范开展严格的产品和过程检验。质检部、技术部负责设立检验站和实验室，并负责组织产品检验工作；质检员负责检验点的检查、半成品、成品的检验；各生产操作工负责过程质量监视工作。公司配备了先进的检测设备</w:t>
      </w:r>
      <w:bookmarkStart w:id="5" w:name="_Hlk81418956"/>
      <w:r>
        <w:rPr>
          <w:rFonts w:hint="eastAsia"/>
        </w:rPr>
        <w:t>以满足高标准产品质量管理的需要。</w:t>
      </w:r>
    </w:p>
    <w:bookmarkEnd w:id="5"/>
    <w:p>
      <w:pPr>
        <w:spacing w:line="500" w:lineRule="atLeast"/>
        <w:ind w:right="240" w:firstLine="480" w:firstLineChars="200"/>
        <w:jc w:val="left"/>
      </w:pPr>
      <w:r>
        <w:rPr>
          <w:rFonts w:hint="eastAsia"/>
        </w:rPr>
        <w:t>六、产品质量责任</w:t>
      </w:r>
    </w:p>
    <w:p>
      <w:pPr>
        <w:spacing w:line="500" w:lineRule="atLeast"/>
        <w:ind w:right="240" w:firstLine="480" w:firstLineChars="200"/>
        <w:jc w:val="left"/>
      </w:pPr>
      <w:r>
        <w:rPr>
          <w:rFonts w:hint="eastAsia"/>
        </w:rPr>
        <w:t>（一）产品质量水平</w:t>
      </w:r>
    </w:p>
    <w:p>
      <w:pPr>
        <w:spacing w:line="500" w:lineRule="atLeast"/>
        <w:ind w:right="240" w:firstLine="480" w:firstLineChars="200"/>
        <w:jc w:val="left"/>
      </w:pPr>
      <w:r>
        <w:rPr>
          <w:rFonts w:hint="eastAsia"/>
        </w:rPr>
        <w:t>本公司拥有不断壮大“精干、专业、创新、高效”的设计开发团队，持续改善产品技术水平和质量性能，目前已被全球顾客和行业的认可。</w:t>
      </w:r>
    </w:p>
    <w:p>
      <w:pPr>
        <w:spacing w:line="500" w:lineRule="atLeast"/>
        <w:ind w:right="240" w:firstLine="480" w:firstLineChars="200"/>
        <w:jc w:val="left"/>
      </w:pPr>
      <w:r>
        <w:rPr>
          <w:rFonts w:hint="eastAsia"/>
        </w:rPr>
        <w:t>公司业务范围遍布全国，通过差异化市场战略，赢得了客户的信赖。</w:t>
      </w:r>
    </w:p>
    <w:p>
      <w:pPr>
        <w:spacing w:line="500" w:lineRule="atLeast"/>
        <w:ind w:right="240" w:firstLine="480" w:firstLineChars="200"/>
        <w:jc w:val="left"/>
      </w:pPr>
      <w:r>
        <w:rPr>
          <w:rFonts w:hint="eastAsia"/>
        </w:rPr>
        <w:t>表3公司近年来获得的荣誉表彰</w:t>
      </w:r>
    </w:p>
    <w:tbl>
      <w:tblPr>
        <w:tblStyle w:val="6"/>
        <w:tblW w:w="9356"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4"/>
        <w:gridCol w:w="4116"/>
        <w:gridCol w:w="3544"/>
        <w:gridCol w:w="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704" w:type="dxa"/>
            <w:shd w:val="clear" w:color="auto" w:fill="F2DBDB"/>
            <w:vAlign w:val="center"/>
          </w:tcPr>
          <w:p>
            <w:pPr>
              <w:spacing w:line="440" w:lineRule="exact"/>
              <w:rPr>
                <w:rFonts w:ascii="宋体" w:hAnsi="宋体"/>
                <w:szCs w:val="21"/>
                <w:highlight w:val="yellow"/>
              </w:rPr>
            </w:pPr>
            <w:r>
              <w:rPr>
                <w:rFonts w:hint="eastAsia" w:ascii="宋体" w:hAnsi="宋体"/>
                <w:szCs w:val="21"/>
              </w:rPr>
              <w:t>序号</w:t>
            </w:r>
          </w:p>
        </w:tc>
        <w:tc>
          <w:tcPr>
            <w:tcW w:w="4116" w:type="dxa"/>
            <w:shd w:val="clear" w:color="auto" w:fill="F2DBDB"/>
            <w:vAlign w:val="center"/>
          </w:tcPr>
          <w:p>
            <w:pPr>
              <w:spacing w:line="440" w:lineRule="exact"/>
              <w:jc w:val="center"/>
              <w:rPr>
                <w:rFonts w:ascii="宋体" w:hAnsi="宋体"/>
                <w:szCs w:val="21"/>
                <w:highlight w:val="yellow"/>
              </w:rPr>
            </w:pPr>
            <w:r>
              <w:rPr>
                <w:rFonts w:hint="eastAsia" w:ascii="宋体" w:hAnsi="宋体"/>
                <w:szCs w:val="21"/>
              </w:rPr>
              <w:t>名称</w:t>
            </w:r>
          </w:p>
        </w:tc>
        <w:tc>
          <w:tcPr>
            <w:tcW w:w="3544" w:type="dxa"/>
            <w:shd w:val="clear" w:color="auto" w:fill="F2DBDB"/>
            <w:vAlign w:val="center"/>
          </w:tcPr>
          <w:p>
            <w:pPr>
              <w:spacing w:line="440" w:lineRule="exact"/>
              <w:jc w:val="center"/>
              <w:rPr>
                <w:rFonts w:ascii="宋体" w:hAnsi="宋体"/>
                <w:szCs w:val="21"/>
                <w:highlight w:val="yellow"/>
              </w:rPr>
            </w:pPr>
            <w:r>
              <w:rPr>
                <w:rFonts w:hint="eastAsia" w:ascii="宋体" w:hAnsi="宋体"/>
                <w:szCs w:val="21"/>
              </w:rPr>
              <w:t>颁授部门</w:t>
            </w:r>
          </w:p>
        </w:tc>
        <w:tc>
          <w:tcPr>
            <w:tcW w:w="992" w:type="dxa"/>
            <w:shd w:val="clear" w:color="auto" w:fill="F2DBDB"/>
            <w:vAlign w:val="center"/>
          </w:tcPr>
          <w:p>
            <w:pPr>
              <w:spacing w:line="440" w:lineRule="exact"/>
              <w:jc w:val="center"/>
              <w:rPr>
                <w:rFonts w:ascii="宋体" w:hAnsi="宋体"/>
                <w:szCs w:val="21"/>
              </w:rPr>
            </w:pPr>
            <w:r>
              <w:rPr>
                <w:rFonts w:hint="eastAsia" w:ascii="宋体" w:hAnsi="宋体"/>
                <w:szCs w:val="21"/>
              </w:rPr>
              <w:t>年份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704" w:type="dxa"/>
            <w:shd w:val="clear" w:color="auto" w:fill="auto"/>
            <w:vAlign w:val="center"/>
          </w:tcPr>
          <w:p>
            <w:pPr>
              <w:spacing w:line="440" w:lineRule="exact"/>
              <w:jc w:val="center"/>
              <w:rPr>
                <w:rFonts w:ascii="宋体" w:hAnsi="宋体"/>
                <w:szCs w:val="21"/>
              </w:rPr>
            </w:pPr>
            <w:r>
              <w:rPr>
                <w:rFonts w:hint="eastAsia" w:ascii="宋体" w:hAnsi="宋体"/>
                <w:szCs w:val="21"/>
              </w:rPr>
              <w:t>1</w:t>
            </w:r>
          </w:p>
        </w:tc>
        <w:tc>
          <w:tcPr>
            <w:tcW w:w="4116" w:type="dxa"/>
            <w:shd w:val="clear" w:color="auto" w:fill="FFFFFF"/>
            <w:vAlign w:val="center"/>
          </w:tcPr>
          <w:p>
            <w:pPr>
              <w:jc w:val="center"/>
              <w:rPr>
                <w:rFonts w:ascii="宋体" w:hAnsi="宋体" w:cs="宋体"/>
                <w:szCs w:val="21"/>
              </w:rPr>
            </w:pPr>
            <w:r>
              <w:rPr>
                <w:rFonts w:ascii="宋体" w:hAnsi="宋体" w:cs="宋体"/>
                <w:szCs w:val="21"/>
              </w:rPr>
              <w:t>高新技术企业</w:t>
            </w:r>
          </w:p>
        </w:tc>
        <w:tc>
          <w:tcPr>
            <w:tcW w:w="3544" w:type="dxa"/>
            <w:shd w:val="clear" w:color="auto" w:fill="FFFFFF"/>
            <w:vAlign w:val="center"/>
          </w:tcPr>
          <w:p>
            <w:pPr>
              <w:jc w:val="center"/>
              <w:rPr>
                <w:rFonts w:ascii="宋体" w:hAnsi="宋体" w:cs="宋体"/>
                <w:szCs w:val="21"/>
              </w:rPr>
            </w:pPr>
            <w:r>
              <w:rPr>
                <w:rFonts w:ascii="宋体" w:hAnsi="宋体" w:cs="宋体"/>
                <w:szCs w:val="21"/>
              </w:rPr>
              <w:t>浙江省科学技术厅</w:t>
            </w:r>
          </w:p>
        </w:tc>
        <w:tc>
          <w:tcPr>
            <w:tcW w:w="992" w:type="dxa"/>
            <w:shd w:val="clear" w:color="auto" w:fill="FFFFFF"/>
            <w:vAlign w:val="center"/>
          </w:tcPr>
          <w:p>
            <w:pPr>
              <w:jc w:val="center"/>
              <w:rPr>
                <w:rFonts w:ascii="宋体" w:hAnsi="宋体" w:cs="宋体"/>
                <w:szCs w:val="21"/>
              </w:rPr>
            </w:pPr>
            <w:r>
              <w:rPr>
                <w:rFonts w:hint="eastAsia" w:ascii="宋体" w:hAnsi="宋体" w:cs="宋体"/>
                <w:szCs w:val="21"/>
              </w:rPr>
              <w:t>2019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704" w:type="dxa"/>
            <w:shd w:val="clear" w:color="auto" w:fill="auto"/>
            <w:vAlign w:val="center"/>
          </w:tcPr>
          <w:p>
            <w:pPr>
              <w:spacing w:line="440" w:lineRule="exact"/>
              <w:jc w:val="center"/>
              <w:rPr>
                <w:rFonts w:ascii="宋体" w:hAnsi="宋体"/>
                <w:szCs w:val="21"/>
              </w:rPr>
            </w:pPr>
            <w:r>
              <w:rPr>
                <w:rFonts w:hint="eastAsia" w:ascii="宋体" w:hAnsi="宋体"/>
                <w:szCs w:val="21"/>
              </w:rPr>
              <w:t>2</w:t>
            </w:r>
          </w:p>
        </w:tc>
        <w:tc>
          <w:tcPr>
            <w:tcW w:w="4116" w:type="dxa"/>
            <w:shd w:val="clear" w:color="auto" w:fill="FFFFFF"/>
            <w:vAlign w:val="center"/>
          </w:tcPr>
          <w:p>
            <w:pPr>
              <w:widowControl/>
              <w:jc w:val="center"/>
              <w:textAlignment w:val="center"/>
              <w:rPr>
                <w:rFonts w:ascii="宋体" w:hAnsi="宋体" w:cs="宋体"/>
              </w:rPr>
            </w:pPr>
            <w:r>
              <w:rPr>
                <w:rFonts w:hint="eastAsia" w:ascii="宋体" w:hAnsi="宋体" w:cs="宋体"/>
              </w:rPr>
              <w:t>纳税信用A级企业</w:t>
            </w:r>
          </w:p>
        </w:tc>
        <w:tc>
          <w:tcPr>
            <w:tcW w:w="3544" w:type="dxa"/>
            <w:shd w:val="clear" w:color="auto" w:fill="FFFFFF"/>
            <w:vAlign w:val="center"/>
          </w:tcPr>
          <w:p>
            <w:pPr>
              <w:widowControl/>
              <w:jc w:val="center"/>
              <w:textAlignment w:val="center"/>
              <w:rPr>
                <w:rFonts w:ascii="宋体" w:hAnsi="宋体" w:cs="宋体"/>
              </w:rPr>
            </w:pPr>
            <w:r>
              <w:rPr>
                <w:rFonts w:hint="eastAsia" w:ascii="宋体" w:hAnsi="宋体" w:cs="宋体"/>
              </w:rPr>
              <w:t>国家税务总局杭州市萧山区税务局</w:t>
            </w:r>
          </w:p>
        </w:tc>
        <w:tc>
          <w:tcPr>
            <w:tcW w:w="992" w:type="dxa"/>
            <w:shd w:val="clear" w:color="auto" w:fill="FFFFFF"/>
            <w:vAlign w:val="center"/>
          </w:tcPr>
          <w:p>
            <w:pPr>
              <w:jc w:val="center"/>
              <w:rPr>
                <w:rFonts w:ascii="宋体" w:hAnsi="宋体" w:cs="宋体"/>
                <w:szCs w:val="21"/>
              </w:rPr>
            </w:pPr>
            <w:r>
              <w:rPr>
                <w:rFonts w:hint="eastAsia" w:ascii="宋体" w:hAnsi="宋体" w:cs="宋体"/>
                <w:szCs w:val="21"/>
              </w:rPr>
              <w:t>2021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704" w:type="dxa"/>
            <w:shd w:val="clear" w:color="auto" w:fill="auto"/>
            <w:vAlign w:val="center"/>
          </w:tcPr>
          <w:p>
            <w:pPr>
              <w:spacing w:line="440" w:lineRule="exact"/>
              <w:jc w:val="center"/>
              <w:rPr>
                <w:rFonts w:ascii="宋体" w:hAnsi="宋体"/>
                <w:szCs w:val="21"/>
              </w:rPr>
            </w:pPr>
            <w:r>
              <w:rPr>
                <w:rFonts w:hint="eastAsia" w:ascii="宋体" w:hAnsi="宋体"/>
                <w:szCs w:val="21"/>
              </w:rPr>
              <w:t>3</w:t>
            </w:r>
          </w:p>
        </w:tc>
        <w:tc>
          <w:tcPr>
            <w:tcW w:w="4116" w:type="dxa"/>
            <w:shd w:val="clear" w:color="auto" w:fill="FFFFFF"/>
            <w:vAlign w:val="center"/>
          </w:tcPr>
          <w:p>
            <w:pPr>
              <w:jc w:val="center"/>
              <w:rPr>
                <w:rFonts w:ascii="宋体" w:hAnsi="Calibri" w:cs="宋体"/>
                <w:kern w:val="0"/>
              </w:rPr>
            </w:pPr>
            <w:r>
              <w:rPr>
                <w:rFonts w:ascii="宋体" w:hAnsi="Calibri" w:cs="宋体"/>
                <w:kern w:val="0"/>
              </w:rPr>
              <w:t>杭州市企业高新技术研究开发中心</w:t>
            </w:r>
          </w:p>
        </w:tc>
        <w:tc>
          <w:tcPr>
            <w:tcW w:w="3544" w:type="dxa"/>
            <w:shd w:val="clear" w:color="auto" w:fill="FFFFFF"/>
            <w:vAlign w:val="center"/>
          </w:tcPr>
          <w:p>
            <w:pPr>
              <w:jc w:val="center"/>
              <w:rPr>
                <w:rFonts w:ascii="宋体" w:hAnsi="宋体" w:cs="宋体"/>
                <w:szCs w:val="21"/>
              </w:rPr>
            </w:pPr>
            <w:r>
              <w:rPr>
                <w:rFonts w:ascii="宋体" w:hAnsi="宋体" w:cs="宋体"/>
                <w:szCs w:val="21"/>
              </w:rPr>
              <w:t>杭州市科学技术局</w:t>
            </w:r>
          </w:p>
        </w:tc>
        <w:tc>
          <w:tcPr>
            <w:tcW w:w="992" w:type="dxa"/>
            <w:shd w:val="clear" w:color="auto" w:fill="FFFFFF"/>
            <w:vAlign w:val="center"/>
          </w:tcPr>
          <w:p>
            <w:pPr>
              <w:jc w:val="center"/>
              <w:rPr>
                <w:rFonts w:ascii="宋体" w:hAnsi="宋体" w:cs="宋体"/>
                <w:szCs w:val="21"/>
              </w:rPr>
            </w:pPr>
            <w:r>
              <w:rPr>
                <w:rFonts w:hint="eastAsia" w:ascii="宋体" w:hAnsi="宋体" w:cs="宋体"/>
                <w:szCs w:val="21"/>
              </w:rPr>
              <w:t>2022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704" w:type="dxa"/>
            <w:shd w:val="clear" w:color="auto" w:fill="auto"/>
            <w:vAlign w:val="center"/>
          </w:tcPr>
          <w:p>
            <w:pPr>
              <w:spacing w:line="440" w:lineRule="exact"/>
              <w:jc w:val="center"/>
              <w:rPr>
                <w:rFonts w:hint="eastAsia" w:ascii="宋体" w:hAnsi="宋体"/>
                <w:szCs w:val="21"/>
              </w:rPr>
            </w:pPr>
            <w:r>
              <w:rPr>
                <w:rFonts w:hint="eastAsia" w:ascii="宋体" w:hAnsi="宋体"/>
                <w:szCs w:val="21"/>
                <w:lang w:val="en-US" w:eastAsia="zh-CN"/>
              </w:rPr>
              <w:t>4</w:t>
            </w:r>
          </w:p>
        </w:tc>
        <w:tc>
          <w:tcPr>
            <w:tcW w:w="4116" w:type="dxa"/>
            <w:shd w:val="clear" w:color="auto" w:fill="FFFFFF"/>
            <w:vAlign w:val="center"/>
          </w:tcPr>
          <w:p>
            <w:pPr>
              <w:jc w:val="center"/>
              <w:rPr>
                <w:rFonts w:ascii="宋体" w:hAnsi="Calibri" w:cs="宋体"/>
                <w:kern w:val="0"/>
              </w:rPr>
            </w:pPr>
            <w:r>
              <w:rPr>
                <w:rFonts w:hint="eastAsia" w:ascii="宋体" w:hAnsi="Calibri" w:cs="宋体"/>
                <w:kern w:val="0"/>
                <w:lang w:val="en-US" w:eastAsia="zh-CN"/>
              </w:rPr>
              <w:t>浙江制造认证</w:t>
            </w:r>
          </w:p>
        </w:tc>
        <w:tc>
          <w:tcPr>
            <w:tcW w:w="3544" w:type="dxa"/>
            <w:shd w:val="clear" w:color="auto" w:fill="FFFFFF"/>
            <w:vAlign w:val="center"/>
          </w:tcPr>
          <w:p>
            <w:pPr>
              <w:jc w:val="center"/>
              <w:rPr>
                <w:rFonts w:hint="eastAsia" w:ascii="宋体" w:hAnsi="宋体" w:cs="宋体"/>
                <w:szCs w:val="21"/>
                <w:lang w:val="en-US" w:eastAsia="zh-CN"/>
              </w:rPr>
            </w:pPr>
            <w:r>
              <w:rPr>
                <w:rFonts w:hint="eastAsia" w:ascii="宋体" w:hAnsi="宋体" w:cs="宋体"/>
                <w:szCs w:val="21"/>
                <w:lang w:val="en-US" w:eastAsia="zh-CN"/>
              </w:rPr>
              <w:t>浙江制造国际认证联盟/</w:t>
            </w:r>
          </w:p>
          <w:p>
            <w:pPr>
              <w:jc w:val="center"/>
              <w:rPr>
                <w:rFonts w:ascii="宋体" w:hAnsi="宋体" w:cs="宋体"/>
                <w:szCs w:val="21"/>
              </w:rPr>
            </w:pPr>
            <w:r>
              <w:rPr>
                <w:rFonts w:hint="eastAsia" w:ascii="宋体" w:hAnsi="宋体" w:cs="宋体"/>
                <w:szCs w:val="21"/>
                <w:lang w:val="en-US" w:eastAsia="zh-CN"/>
              </w:rPr>
              <w:t>杭州万泰认证有限公司</w:t>
            </w:r>
          </w:p>
        </w:tc>
        <w:tc>
          <w:tcPr>
            <w:tcW w:w="992" w:type="dxa"/>
            <w:shd w:val="clear" w:color="auto" w:fill="FFFFFF"/>
            <w:vAlign w:val="center"/>
          </w:tcPr>
          <w:p>
            <w:pPr>
              <w:jc w:val="center"/>
              <w:rPr>
                <w:rFonts w:hint="eastAsia" w:ascii="宋体" w:hAnsi="宋体" w:cs="宋体"/>
                <w:szCs w:val="21"/>
              </w:rPr>
            </w:pPr>
            <w:r>
              <w:rPr>
                <w:rFonts w:hint="eastAsia" w:ascii="宋体" w:hAnsi="宋体" w:cs="宋体"/>
                <w:szCs w:val="21"/>
                <w:lang w:val="en-US" w:eastAsia="zh-CN"/>
              </w:rPr>
              <w:t>2022</w:t>
            </w:r>
          </w:p>
        </w:tc>
      </w:tr>
    </w:tbl>
    <w:p>
      <w:pPr>
        <w:spacing w:line="500" w:lineRule="atLeast"/>
        <w:ind w:right="240"/>
        <w:jc w:val="left"/>
      </w:pPr>
    </w:p>
    <w:p>
      <w:pPr>
        <w:spacing w:line="500" w:lineRule="atLeast"/>
        <w:ind w:right="240" w:firstLine="480" w:firstLineChars="200"/>
        <w:jc w:val="left"/>
      </w:pPr>
      <w:r>
        <w:rPr>
          <w:rFonts w:hint="eastAsia"/>
        </w:rPr>
        <w:t>（二）产品售后责任</w:t>
      </w:r>
    </w:p>
    <w:p>
      <w:pPr>
        <w:spacing w:line="500" w:lineRule="atLeast"/>
        <w:ind w:right="240" w:firstLine="480" w:firstLineChars="200"/>
        <w:jc w:val="left"/>
      </w:pPr>
      <w:r>
        <w:rPr>
          <w:rFonts w:hint="eastAsia"/>
        </w:rPr>
        <w:t>公司建立并实施顾客投诉处理流程，确保及时有效地处理客户投诉。客户投诉由专职人员处理，每次投诉，均严密监控，根据客户投诉类型与程度的差异，以客户为中心并注重收集和解决客户的反馈，并采取必要的纠正措施，以防止类似问题的重复发生。以电话或邮件回访的方式跟踪投诉处理过程，了解顾客的满意度。</w:t>
      </w:r>
    </w:p>
    <w:p>
      <w:pPr>
        <w:spacing w:line="500" w:lineRule="atLeast"/>
        <w:ind w:right="240" w:firstLine="480" w:firstLineChars="200"/>
        <w:jc w:val="left"/>
      </w:pPr>
      <w:r>
        <w:rPr>
          <w:rFonts w:hint="eastAsia"/>
        </w:rPr>
        <w:t>同时，公司质检部、技术部对客诉信息定期监测，对市场中重复发生及影响客户满意度和产品调试的问题进行集中收集，并加以分析，形成报告。定期组织内部各部门召开产品质量会议，对重大产品质量问题进行攻坚改善，消除质量风险，提升产品质量满意度。</w:t>
      </w:r>
    </w:p>
    <w:p>
      <w:pPr>
        <w:spacing w:line="500" w:lineRule="atLeast"/>
        <w:ind w:right="240" w:firstLine="480" w:firstLineChars="200"/>
        <w:jc w:val="left"/>
      </w:pPr>
      <w:r>
        <w:rPr>
          <w:rFonts w:hint="eastAsia"/>
        </w:rPr>
        <w:t>（三）企业社会责任</w:t>
      </w:r>
    </w:p>
    <w:p>
      <w:pPr>
        <w:spacing w:line="500" w:lineRule="atLeast"/>
        <w:ind w:right="240" w:firstLine="480" w:firstLineChars="200"/>
        <w:jc w:val="left"/>
      </w:pPr>
      <w:r>
        <w:rPr>
          <w:rFonts w:hint="eastAsia"/>
        </w:rPr>
        <w:t>公司在企业不断发展的同时积极履行公共责任、公民义务及恪守道德规范。在公共责任方面，公司把环境保护和员工职业健康安全及减少能源消耗作为工作中的重点，积极创新，持续改进，取得了显著成果；在品德行为方面，公司倡导“诚实守信、创新发展”的核心价值观，并兼顾顾客方、公司员工、政府等相关方的利益；在公益支持方面，高层领导率先垂范，员工积极参加，积极回报社会。</w:t>
      </w:r>
    </w:p>
    <w:p>
      <w:pPr>
        <w:spacing w:line="500" w:lineRule="atLeast"/>
        <w:ind w:right="240" w:firstLine="480" w:firstLineChars="200"/>
        <w:jc w:val="left"/>
      </w:pPr>
      <w:r>
        <w:rPr>
          <w:rFonts w:hint="eastAsia"/>
        </w:rPr>
        <w:t>1）公共责任</w:t>
      </w:r>
    </w:p>
    <w:p>
      <w:pPr>
        <w:spacing w:line="500" w:lineRule="atLeast"/>
        <w:ind w:right="240" w:firstLine="480" w:firstLineChars="200"/>
        <w:jc w:val="left"/>
      </w:pPr>
      <w:r>
        <w:rPr>
          <w:rFonts w:hint="eastAsia"/>
        </w:rPr>
        <w:t>公司谋求企业与环境的和谐发展，在取得合理利润与经济效益之下，积极投入先进设备和技术。通过对公司在企业运营中可能给社会造成的危害影响进行风险识别，并严格遵照各种相关的法律和法规，采取各种有效的治理措施，使之达到法律法规要求，维护社会公共利益。</w:t>
      </w:r>
    </w:p>
    <w:p>
      <w:pPr>
        <w:spacing w:line="500" w:lineRule="atLeast"/>
        <w:ind w:right="240" w:firstLine="480" w:firstLineChars="200"/>
        <w:jc w:val="left"/>
      </w:pPr>
      <w:r>
        <w:rPr>
          <w:rFonts w:hint="eastAsia"/>
        </w:rPr>
        <w:t>公司产品及生产、运营过程具有一定的环境和职业健康安全风险。公司非常重视环境和职业健康安全风险控制，严格贯彻国家相关法律法规，建立和实施了环境管理体系和职业健康安全管理体系，制定并实施了《运行控制程序》、安全生产管理制度和应急预案等制度和管理办法，每年组织签订安全管理目标责任书；建立安全预警机制和安全事故应急处理机制；每年定期开展消防演练、紧急集合演练活动，实现环境和职业健康安全目标；同时公司制定了节能降耗控制程序，制定资源回收利用制度，对可利用资源进行回收利用。公司环境、安全、能源消耗等测量指标、方法、控制过程见下表。</w:t>
      </w:r>
    </w:p>
    <w:p>
      <w:pPr>
        <w:spacing w:line="500" w:lineRule="atLeast"/>
        <w:ind w:right="240" w:firstLine="480" w:firstLineChars="200"/>
        <w:jc w:val="left"/>
      </w:pPr>
      <w:r>
        <w:rPr>
          <w:rFonts w:hint="eastAsia"/>
        </w:rPr>
        <w:t>表4公共责任指标测量与控制方法</w:t>
      </w:r>
    </w:p>
    <w:tbl>
      <w:tblPr>
        <w:tblStyle w:val="6"/>
        <w:tblW w:w="0" w:type="auto"/>
        <w:jc w:val="center"/>
        <w:tblBorders>
          <w:top w:val="single" w:color="4E6128" w:sz="12" w:space="0"/>
          <w:left w:val="single" w:color="4E6128" w:sz="12" w:space="0"/>
          <w:bottom w:val="single" w:color="4E6128" w:sz="12" w:space="0"/>
          <w:right w:val="single" w:color="4E6128" w:sz="12" w:space="0"/>
          <w:insideH w:val="single" w:color="4E6128" w:sz="4" w:space="0"/>
          <w:insideV w:val="single" w:color="4E6128" w:sz="4" w:space="0"/>
        </w:tblBorders>
        <w:shd w:val="clear" w:color="auto" w:fill="FFFFFF"/>
        <w:tblLayout w:type="fixed"/>
        <w:tblCellMar>
          <w:top w:w="0" w:type="dxa"/>
          <w:left w:w="108" w:type="dxa"/>
          <w:bottom w:w="0" w:type="dxa"/>
          <w:right w:w="108" w:type="dxa"/>
        </w:tblCellMar>
      </w:tblPr>
      <w:tblGrid>
        <w:gridCol w:w="708"/>
        <w:gridCol w:w="1002"/>
        <w:gridCol w:w="2700"/>
        <w:gridCol w:w="2957"/>
        <w:gridCol w:w="1134"/>
      </w:tblGrid>
      <w:tr>
        <w:tblPrEx>
          <w:tblBorders>
            <w:top w:val="single" w:color="4E6128" w:sz="12" w:space="0"/>
            <w:left w:val="single" w:color="4E6128" w:sz="12" w:space="0"/>
            <w:bottom w:val="single" w:color="4E6128" w:sz="12" w:space="0"/>
            <w:right w:val="single" w:color="4E6128" w:sz="12" w:space="0"/>
            <w:insideH w:val="single" w:color="4E6128" w:sz="4" w:space="0"/>
            <w:insideV w:val="single" w:color="4E6128" w:sz="4" w:space="0"/>
          </w:tblBorders>
          <w:shd w:val="clear" w:color="auto" w:fill="FFFFFF"/>
          <w:tblCellMar>
            <w:top w:w="0" w:type="dxa"/>
            <w:left w:w="108" w:type="dxa"/>
            <w:bottom w:w="0" w:type="dxa"/>
            <w:right w:w="108" w:type="dxa"/>
          </w:tblCellMar>
        </w:tblPrEx>
        <w:trPr>
          <w:trHeight w:val="89" w:hRule="atLeast"/>
          <w:tblHeader/>
          <w:jc w:val="center"/>
        </w:trPr>
        <w:tc>
          <w:tcPr>
            <w:tcW w:w="708" w:type="dxa"/>
            <w:tcBorders>
              <w:top w:val="single" w:color="4E6128" w:sz="12" w:space="0"/>
              <w:left w:val="single" w:color="4E6128" w:sz="12" w:space="0"/>
              <w:bottom w:val="single" w:color="4E6128" w:sz="4" w:space="0"/>
              <w:right w:val="single" w:color="4E6128" w:sz="4" w:space="0"/>
            </w:tcBorders>
            <w:shd w:val="clear" w:color="auto" w:fill="548DD4"/>
            <w:vAlign w:val="center"/>
          </w:tcPr>
          <w:p>
            <w:pPr>
              <w:pStyle w:val="11"/>
              <w:jc w:val="center"/>
              <w:rPr>
                <w:rFonts w:ascii="宋体" w:hAnsi="宋体"/>
                <w:b/>
              </w:rPr>
            </w:pPr>
            <w:r>
              <w:rPr>
                <w:rFonts w:hint="eastAsia" w:ascii="宋体" w:hAnsi="宋体"/>
                <w:b/>
              </w:rPr>
              <w:t>控制对象</w:t>
            </w:r>
          </w:p>
        </w:tc>
        <w:tc>
          <w:tcPr>
            <w:tcW w:w="1002" w:type="dxa"/>
            <w:tcBorders>
              <w:top w:val="single" w:color="4E6128" w:sz="12" w:space="0"/>
              <w:left w:val="single" w:color="4E6128" w:sz="4" w:space="0"/>
              <w:bottom w:val="single" w:color="4E6128" w:sz="4" w:space="0"/>
              <w:right w:val="single" w:color="4E6128" w:sz="4" w:space="0"/>
            </w:tcBorders>
            <w:shd w:val="clear" w:color="auto" w:fill="548DD4"/>
            <w:vAlign w:val="center"/>
          </w:tcPr>
          <w:p>
            <w:pPr>
              <w:pStyle w:val="11"/>
              <w:jc w:val="center"/>
              <w:rPr>
                <w:rFonts w:ascii="宋体" w:hAnsi="宋体" w:cs="Calibri"/>
                <w:b/>
                <w:kern w:val="0"/>
                <w:szCs w:val="20"/>
              </w:rPr>
            </w:pPr>
            <w:r>
              <w:rPr>
                <w:rFonts w:hint="eastAsia" w:ascii="宋体" w:hAnsi="宋体"/>
                <w:b/>
              </w:rPr>
              <w:t>控制</w:t>
            </w:r>
          </w:p>
          <w:p>
            <w:pPr>
              <w:pStyle w:val="11"/>
              <w:jc w:val="center"/>
              <w:rPr>
                <w:rFonts w:ascii="宋体" w:hAnsi="宋体"/>
                <w:b/>
              </w:rPr>
            </w:pPr>
            <w:r>
              <w:rPr>
                <w:rFonts w:hint="eastAsia" w:ascii="宋体" w:hAnsi="宋体"/>
                <w:b/>
              </w:rPr>
              <w:t>项目</w:t>
            </w:r>
          </w:p>
        </w:tc>
        <w:tc>
          <w:tcPr>
            <w:tcW w:w="2700" w:type="dxa"/>
            <w:tcBorders>
              <w:top w:val="single" w:color="4E6128" w:sz="12" w:space="0"/>
              <w:left w:val="single" w:color="4E6128" w:sz="4" w:space="0"/>
              <w:bottom w:val="single" w:color="4E6128" w:sz="4" w:space="0"/>
              <w:right w:val="single" w:color="4E6128" w:sz="4" w:space="0"/>
            </w:tcBorders>
            <w:shd w:val="clear" w:color="auto" w:fill="548DD4"/>
            <w:vAlign w:val="center"/>
          </w:tcPr>
          <w:p>
            <w:pPr>
              <w:pStyle w:val="11"/>
              <w:jc w:val="center"/>
              <w:rPr>
                <w:rFonts w:ascii="宋体" w:hAnsi="宋体"/>
                <w:b/>
              </w:rPr>
            </w:pPr>
            <w:r>
              <w:rPr>
                <w:rFonts w:hint="eastAsia" w:ascii="宋体" w:hAnsi="宋体"/>
                <w:b/>
              </w:rPr>
              <w:t>关键控制过程</w:t>
            </w:r>
          </w:p>
        </w:tc>
        <w:tc>
          <w:tcPr>
            <w:tcW w:w="2957" w:type="dxa"/>
            <w:tcBorders>
              <w:top w:val="single" w:color="4E6128" w:sz="12" w:space="0"/>
              <w:left w:val="single" w:color="4E6128" w:sz="4" w:space="0"/>
              <w:bottom w:val="single" w:color="4E6128" w:sz="4" w:space="0"/>
              <w:right w:val="single" w:color="4E6128" w:sz="4" w:space="0"/>
            </w:tcBorders>
            <w:shd w:val="clear" w:color="auto" w:fill="548DD4"/>
            <w:vAlign w:val="center"/>
          </w:tcPr>
          <w:p>
            <w:pPr>
              <w:pStyle w:val="11"/>
              <w:jc w:val="center"/>
              <w:rPr>
                <w:rFonts w:ascii="宋体" w:hAnsi="宋体"/>
                <w:b/>
              </w:rPr>
            </w:pPr>
            <w:r>
              <w:rPr>
                <w:rFonts w:hint="eastAsia" w:ascii="宋体" w:hAnsi="宋体"/>
                <w:b/>
              </w:rPr>
              <w:t>监测方法及频次</w:t>
            </w:r>
          </w:p>
        </w:tc>
        <w:tc>
          <w:tcPr>
            <w:tcW w:w="1134" w:type="dxa"/>
            <w:tcBorders>
              <w:top w:val="single" w:color="4E6128" w:sz="12" w:space="0"/>
              <w:left w:val="single" w:color="4E6128" w:sz="4" w:space="0"/>
              <w:bottom w:val="single" w:color="4E6128" w:sz="4" w:space="0"/>
              <w:right w:val="single" w:color="4E6128" w:sz="12" w:space="0"/>
            </w:tcBorders>
            <w:shd w:val="clear" w:color="auto" w:fill="548DD4"/>
            <w:vAlign w:val="center"/>
          </w:tcPr>
          <w:p>
            <w:pPr>
              <w:pStyle w:val="11"/>
              <w:jc w:val="center"/>
              <w:rPr>
                <w:rFonts w:ascii="宋体" w:hAnsi="宋体"/>
                <w:b/>
              </w:rPr>
            </w:pPr>
            <w:r>
              <w:rPr>
                <w:rFonts w:hint="eastAsia" w:ascii="宋体" w:hAnsi="宋体"/>
                <w:b/>
              </w:rPr>
              <w:t>目标</w:t>
            </w:r>
          </w:p>
        </w:tc>
      </w:tr>
      <w:tr>
        <w:tblPrEx>
          <w:tblBorders>
            <w:top w:val="single" w:color="4E6128" w:sz="12" w:space="0"/>
            <w:left w:val="single" w:color="4E6128" w:sz="12" w:space="0"/>
            <w:bottom w:val="single" w:color="4E6128" w:sz="12" w:space="0"/>
            <w:right w:val="single" w:color="4E6128" w:sz="12" w:space="0"/>
            <w:insideH w:val="single" w:color="4E6128" w:sz="4" w:space="0"/>
            <w:insideV w:val="single" w:color="4E6128" w:sz="4" w:space="0"/>
          </w:tblBorders>
          <w:shd w:val="clear" w:color="auto" w:fill="FFFFFF"/>
          <w:tblCellMar>
            <w:top w:w="0" w:type="dxa"/>
            <w:left w:w="108" w:type="dxa"/>
            <w:bottom w:w="0" w:type="dxa"/>
            <w:right w:w="108" w:type="dxa"/>
          </w:tblCellMar>
        </w:tblPrEx>
        <w:trPr>
          <w:trHeight w:val="1274" w:hRule="atLeast"/>
          <w:jc w:val="center"/>
        </w:trPr>
        <w:tc>
          <w:tcPr>
            <w:tcW w:w="708" w:type="dxa"/>
            <w:tcBorders>
              <w:top w:val="single" w:color="4E6128" w:sz="4" w:space="0"/>
              <w:left w:val="single" w:color="4E6128" w:sz="12" w:space="0"/>
              <w:bottom w:val="single" w:color="4E6128" w:sz="4" w:space="0"/>
              <w:right w:val="single" w:color="4E6128" w:sz="4" w:space="0"/>
            </w:tcBorders>
            <w:shd w:val="clear" w:color="auto" w:fill="FFFFFF"/>
            <w:vAlign w:val="center"/>
          </w:tcPr>
          <w:p>
            <w:pPr>
              <w:pStyle w:val="11"/>
              <w:rPr>
                <w:rFonts w:ascii="宋体" w:hAnsi="宋体"/>
              </w:rPr>
            </w:pPr>
            <w:r>
              <w:rPr>
                <w:rFonts w:hint="eastAsia" w:ascii="宋体" w:hAnsi="宋体"/>
              </w:rPr>
              <w:t>产品质量安全</w:t>
            </w:r>
          </w:p>
        </w:tc>
        <w:tc>
          <w:tcPr>
            <w:tcW w:w="1002"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rPr>
            </w:pPr>
            <w:r>
              <w:rPr>
                <w:rFonts w:hint="eastAsia" w:ascii="宋体" w:hAnsi="宋体"/>
              </w:rPr>
              <w:t xml:space="preserve"> 产品关键理化性能指标</w:t>
            </w:r>
          </w:p>
        </w:tc>
        <w:tc>
          <w:tcPr>
            <w:tcW w:w="2700"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cs="Calibri"/>
                <w:kern w:val="0"/>
                <w:szCs w:val="20"/>
              </w:rPr>
            </w:pPr>
            <w:r>
              <w:rPr>
                <w:rFonts w:hint="eastAsia" w:ascii="宋体" w:hAnsi="宋体"/>
              </w:rPr>
              <w:t>1、生产工艺规程、批生产记录、质量标准、SOP等生产质量管理文件的制定和实施；</w:t>
            </w:r>
          </w:p>
          <w:p>
            <w:pPr>
              <w:pStyle w:val="11"/>
              <w:rPr>
                <w:rFonts w:ascii="宋体" w:hAnsi="宋体"/>
              </w:rPr>
            </w:pPr>
            <w:r>
              <w:rPr>
                <w:rFonts w:hint="eastAsia" w:ascii="宋体" w:hAnsi="宋体"/>
              </w:rPr>
              <w:t>2、物料、中间产品、待包装产品和成品的检验、放行控制；</w:t>
            </w:r>
          </w:p>
        </w:tc>
        <w:tc>
          <w:tcPr>
            <w:tcW w:w="2957"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cs="Calibri"/>
                <w:kern w:val="0"/>
                <w:szCs w:val="20"/>
              </w:rPr>
            </w:pPr>
            <w:r>
              <w:rPr>
                <w:rFonts w:hint="eastAsia" w:ascii="宋体" w:hAnsi="宋体"/>
              </w:rPr>
              <w:t>1、公司对每批产品按质量标准进行检验；</w:t>
            </w:r>
          </w:p>
          <w:p>
            <w:pPr>
              <w:pStyle w:val="11"/>
              <w:rPr>
                <w:rFonts w:ascii="宋体" w:hAnsi="宋体"/>
              </w:rPr>
            </w:pPr>
            <w:r>
              <w:rPr>
                <w:rFonts w:hint="eastAsia" w:ascii="宋体" w:hAnsi="宋体"/>
              </w:rPr>
              <w:t>2、国家及地方市场监管机构按规定和计划抽检。</w:t>
            </w:r>
          </w:p>
        </w:tc>
        <w:tc>
          <w:tcPr>
            <w:tcW w:w="1134" w:type="dxa"/>
            <w:tcBorders>
              <w:top w:val="single" w:color="4E6128" w:sz="4" w:space="0"/>
              <w:left w:val="single" w:color="4E6128" w:sz="4" w:space="0"/>
              <w:bottom w:val="single" w:color="4E6128" w:sz="4" w:space="0"/>
              <w:right w:val="single" w:color="4E6128" w:sz="12" w:space="0"/>
            </w:tcBorders>
            <w:shd w:val="clear" w:color="auto" w:fill="FFFFFF"/>
            <w:vAlign w:val="center"/>
          </w:tcPr>
          <w:p>
            <w:pPr>
              <w:pStyle w:val="11"/>
              <w:rPr>
                <w:rFonts w:ascii="宋体" w:hAnsi="宋体"/>
              </w:rPr>
            </w:pPr>
            <w:r>
              <w:rPr>
                <w:rFonts w:hint="eastAsia" w:ascii="宋体" w:hAnsi="宋体"/>
              </w:rPr>
              <w:t>市场监督抽查合格率100%</w:t>
            </w:r>
          </w:p>
        </w:tc>
      </w:tr>
      <w:tr>
        <w:tblPrEx>
          <w:tblBorders>
            <w:top w:val="single" w:color="4E6128" w:sz="12" w:space="0"/>
            <w:left w:val="single" w:color="4E6128" w:sz="12" w:space="0"/>
            <w:bottom w:val="single" w:color="4E6128" w:sz="12" w:space="0"/>
            <w:right w:val="single" w:color="4E6128" w:sz="12" w:space="0"/>
            <w:insideH w:val="single" w:color="4E6128" w:sz="4" w:space="0"/>
            <w:insideV w:val="single" w:color="4E6128" w:sz="4" w:space="0"/>
          </w:tblBorders>
          <w:shd w:val="clear" w:color="auto" w:fill="FFFFFF"/>
          <w:tblCellMar>
            <w:top w:w="0" w:type="dxa"/>
            <w:left w:w="108" w:type="dxa"/>
            <w:bottom w:w="0" w:type="dxa"/>
            <w:right w:w="108" w:type="dxa"/>
          </w:tblCellMar>
        </w:tblPrEx>
        <w:trPr>
          <w:trHeight w:val="1322" w:hRule="atLeast"/>
          <w:jc w:val="center"/>
        </w:trPr>
        <w:tc>
          <w:tcPr>
            <w:tcW w:w="708" w:type="dxa"/>
            <w:tcBorders>
              <w:top w:val="single" w:color="4E6128" w:sz="4" w:space="0"/>
              <w:left w:val="single" w:color="4E6128" w:sz="12" w:space="0"/>
              <w:bottom w:val="single" w:color="4E6128" w:sz="4" w:space="0"/>
              <w:right w:val="single" w:color="4E6128" w:sz="4" w:space="0"/>
            </w:tcBorders>
            <w:shd w:val="clear" w:color="auto" w:fill="FFFFFF"/>
            <w:vAlign w:val="center"/>
          </w:tcPr>
          <w:p>
            <w:pPr>
              <w:pStyle w:val="11"/>
              <w:rPr>
                <w:rFonts w:ascii="宋体" w:hAnsi="宋体"/>
              </w:rPr>
            </w:pPr>
            <w:r>
              <w:rPr>
                <w:rFonts w:hint="eastAsia" w:ascii="宋体" w:hAnsi="宋体"/>
              </w:rPr>
              <w:t>生产安全</w:t>
            </w:r>
          </w:p>
        </w:tc>
        <w:tc>
          <w:tcPr>
            <w:tcW w:w="1002"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rPr>
            </w:pPr>
            <w:r>
              <w:rPr>
                <w:rFonts w:hint="eastAsia" w:ascii="宋体" w:hAnsi="宋体"/>
              </w:rPr>
              <w:t>火灾事故、触电伤害、压力容器爆炸、高空坠落、机械伤害、场内机动车辆伤害等</w:t>
            </w:r>
          </w:p>
        </w:tc>
        <w:tc>
          <w:tcPr>
            <w:tcW w:w="2700"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cs="Calibri"/>
                <w:kern w:val="0"/>
                <w:szCs w:val="20"/>
              </w:rPr>
            </w:pPr>
            <w:r>
              <w:rPr>
                <w:rFonts w:hint="eastAsia" w:ascii="宋体" w:hAnsi="宋体"/>
              </w:rPr>
              <w:t>1、安全生产责任制的制定与实施；</w:t>
            </w:r>
          </w:p>
          <w:p>
            <w:pPr>
              <w:pStyle w:val="11"/>
              <w:rPr>
                <w:rFonts w:ascii="宋体" w:hAnsi="宋体"/>
              </w:rPr>
            </w:pPr>
            <w:r>
              <w:rPr>
                <w:rFonts w:hint="eastAsia" w:ascii="宋体" w:hAnsi="宋体"/>
              </w:rPr>
              <w:t>2、签订安全生产责任状；</w:t>
            </w:r>
          </w:p>
          <w:p>
            <w:pPr>
              <w:pStyle w:val="11"/>
              <w:rPr>
                <w:rFonts w:ascii="宋体" w:hAnsi="宋体"/>
              </w:rPr>
            </w:pPr>
            <w:r>
              <w:rPr>
                <w:rFonts w:hint="eastAsia" w:ascii="宋体" w:hAnsi="宋体"/>
              </w:rPr>
              <w:t>3、危险源的识别、评价和更新；</w:t>
            </w:r>
          </w:p>
          <w:p>
            <w:pPr>
              <w:pStyle w:val="11"/>
              <w:rPr>
                <w:rFonts w:ascii="宋体" w:hAnsi="宋体"/>
              </w:rPr>
            </w:pPr>
            <w:r>
              <w:rPr>
                <w:rFonts w:hint="eastAsia" w:ascii="宋体" w:hAnsi="宋体"/>
              </w:rPr>
              <w:t>4、管理方案的制定和实施；</w:t>
            </w:r>
          </w:p>
          <w:p>
            <w:pPr>
              <w:pStyle w:val="11"/>
              <w:rPr>
                <w:rFonts w:ascii="宋体" w:hAnsi="宋体"/>
              </w:rPr>
            </w:pPr>
            <w:r>
              <w:rPr>
                <w:rFonts w:hint="eastAsia" w:ascii="宋体" w:hAnsi="宋体"/>
              </w:rPr>
              <w:t>5、操作规程的制定和实施；</w:t>
            </w:r>
          </w:p>
          <w:p>
            <w:pPr>
              <w:pStyle w:val="11"/>
              <w:rPr>
                <w:rFonts w:ascii="宋体" w:hAnsi="宋体"/>
              </w:rPr>
            </w:pPr>
            <w:r>
              <w:rPr>
                <w:rFonts w:hint="eastAsia" w:ascii="宋体" w:hAnsi="宋体"/>
              </w:rPr>
              <w:t>6、应急预案的制定、培训、演练和总结。</w:t>
            </w:r>
          </w:p>
        </w:tc>
        <w:tc>
          <w:tcPr>
            <w:tcW w:w="2957"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cs="Calibri"/>
                <w:kern w:val="0"/>
                <w:szCs w:val="20"/>
              </w:rPr>
            </w:pPr>
            <w:r>
              <w:rPr>
                <w:rFonts w:hint="eastAsia" w:ascii="宋体" w:hAnsi="宋体"/>
              </w:rPr>
              <w:t>1、每年组织一次内审；</w:t>
            </w:r>
          </w:p>
          <w:p>
            <w:pPr>
              <w:pStyle w:val="11"/>
              <w:rPr>
                <w:rFonts w:ascii="宋体" w:hAnsi="宋体"/>
              </w:rPr>
            </w:pPr>
            <w:r>
              <w:rPr>
                <w:rFonts w:hint="eastAsia" w:ascii="宋体" w:hAnsi="宋体"/>
              </w:rPr>
              <w:t>2、体系的管理评审及第三方认证公司每年跟踪审核；</w:t>
            </w:r>
          </w:p>
          <w:p>
            <w:pPr>
              <w:pStyle w:val="11"/>
              <w:rPr>
                <w:rFonts w:ascii="宋体" w:hAnsi="宋体"/>
              </w:rPr>
            </w:pPr>
            <w:r>
              <w:rPr>
                <w:rFonts w:hint="eastAsia" w:ascii="宋体" w:hAnsi="宋体"/>
              </w:rPr>
              <w:t>3、政府主管部门组织的安全检查；</w:t>
            </w:r>
          </w:p>
          <w:p>
            <w:pPr>
              <w:pStyle w:val="11"/>
              <w:rPr>
                <w:rFonts w:ascii="宋体" w:hAnsi="宋体"/>
              </w:rPr>
            </w:pPr>
            <w:r>
              <w:rPr>
                <w:rFonts w:hint="eastAsia" w:ascii="宋体" w:hAnsi="宋体"/>
              </w:rPr>
              <w:t>4、公司每年组织应急预案演练；</w:t>
            </w:r>
          </w:p>
          <w:p>
            <w:pPr>
              <w:pStyle w:val="11"/>
              <w:rPr>
                <w:rFonts w:ascii="宋体" w:hAnsi="宋体"/>
              </w:rPr>
            </w:pPr>
            <w:r>
              <w:rPr>
                <w:rFonts w:hint="eastAsia" w:ascii="宋体" w:hAnsi="宋体"/>
              </w:rPr>
              <w:t>5、每年法规合规性评价；</w:t>
            </w:r>
          </w:p>
          <w:p>
            <w:pPr>
              <w:pStyle w:val="11"/>
              <w:rPr>
                <w:rFonts w:ascii="宋体" w:hAnsi="宋体"/>
              </w:rPr>
            </w:pPr>
            <w:r>
              <w:rPr>
                <w:rFonts w:hint="eastAsia" w:ascii="宋体" w:hAnsi="宋体"/>
              </w:rPr>
              <w:t>6、委托外部进行特种设备检验。</w:t>
            </w:r>
          </w:p>
        </w:tc>
        <w:tc>
          <w:tcPr>
            <w:tcW w:w="1134" w:type="dxa"/>
            <w:tcBorders>
              <w:top w:val="single" w:color="4E6128" w:sz="4" w:space="0"/>
              <w:left w:val="single" w:color="4E6128" w:sz="4" w:space="0"/>
              <w:bottom w:val="single" w:color="4E6128" w:sz="4" w:space="0"/>
              <w:right w:val="single" w:color="4E6128" w:sz="12" w:space="0"/>
            </w:tcBorders>
            <w:shd w:val="clear" w:color="auto" w:fill="FFFFFF"/>
            <w:vAlign w:val="center"/>
          </w:tcPr>
          <w:p>
            <w:pPr>
              <w:pStyle w:val="11"/>
              <w:rPr>
                <w:rFonts w:ascii="宋体" w:hAnsi="宋体"/>
              </w:rPr>
            </w:pPr>
            <w:r>
              <w:rPr>
                <w:rFonts w:hint="eastAsia" w:ascii="宋体" w:hAnsi="宋体"/>
              </w:rPr>
              <w:t>重大安全生产事故为0</w:t>
            </w:r>
          </w:p>
        </w:tc>
      </w:tr>
      <w:tr>
        <w:tblPrEx>
          <w:tblBorders>
            <w:top w:val="single" w:color="4E6128" w:sz="12" w:space="0"/>
            <w:left w:val="single" w:color="4E6128" w:sz="12" w:space="0"/>
            <w:bottom w:val="single" w:color="4E6128" w:sz="12" w:space="0"/>
            <w:right w:val="single" w:color="4E6128" w:sz="12" w:space="0"/>
            <w:insideH w:val="single" w:color="4E6128" w:sz="4" w:space="0"/>
            <w:insideV w:val="single" w:color="4E6128" w:sz="4" w:space="0"/>
          </w:tblBorders>
          <w:shd w:val="clear" w:color="auto" w:fill="FFFFFF"/>
          <w:tblCellMar>
            <w:top w:w="0" w:type="dxa"/>
            <w:left w:w="108" w:type="dxa"/>
            <w:bottom w:w="0" w:type="dxa"/>
            <w:right w:w="108" w:type="dxa"/>
          </w:tblCellMar>
        </w:tblPrEx>
        <w:trPr>
          <w:trHeight w:val="419" w:hRule="atLeast"/>
          <w:jc w:val="center"/>
        </w:trPr>
        <w:tc>
          <w:tcPr>
            <w:tcW w:w="708" w:type="dxa"/>
            <w:tcBorders>
              <w:top w:val="single" w:color="4E6128" w:sz="4" w:space="0"/>
              <w:left w:val="single" w:color="4E6128" w:sz="12" w:space="0"/>
              <w:bottom w:val="single" w:color="4E6128" w:sz="4" w:space="0"/>
              <w:right w:val="single" w:color="4E6128" w:sz="4" w:space="0"/>
            </w:tcBorders>
            <w:shd w:val="clear" w:color="auto" w:fill="FFFFFF"/>
            <w:vAlign w:val="center"/>
          </w:tcPr>
          <w:p>
            <w:pPr>
              <w:pStyle w:val="11"/>
              <w:rPr>
                <w:rFonts w:ascii="宋体" w:hAnsi="宋体"/>
              </w:rPr>
            </w:pPr>
            <w:r>
              <w:rPr>
                <w:rFonts w:hint="eastAsia" w:ascii="宋体" w:hAnsi="宋体"/>
              </w:rPr>
              <w:t>环境保护</w:t>
            </w:r>
          </w:p>
        </w:tc>
        <w:tc>
          <w:tcPr>
            <w:tcW w:w="1002"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rPr>
            </w:pPr>
            <w:r>
              <w:rPr>
                <w:rFonts w:hint="eastAsia" w:ascii="宋体" w:hAnsi="宋体"/>
              </w:rPr>
              <w:t>废水、废气、厂界噪声、固体废弃物等</w:t>
            </w:r>
          </w:p>
        </w:tc>
        <w:tc>
          <w:tcPr>
            <w:tcW w:w="2700"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cs="Calibri"/>
                <w:kern w:val="0"/>
                <w:szCs w:val="20"/>
              </w:rPr>
            </w:pPr>
            <w:r>
              <w:rPr>
                <w:rFonts w:hint="eastAsia" w:ascii="宋体" w:hAnsi="宋体"/>
              </w:rPr>
              <w:t>1、环境因素的识别、评价和更新；</w:t>
            </w:r>
          </w:p>
          <w:p>
            <w:pPr>
              <w:pStyle w:val="11"/>
              <w:rPr>
                <w:rFonts w:ascii="宋体" w:hAnsi="宋体"/>
              </w:rPr>
            </w:pPr>
            <w:r>
              <w:rPr>
                <w:rFonts w:hint="eastAsia" w:ascii="宋体" w:hAnsi="宋体"/>
              </w:rPr>
              <w:t>2、固体废弃物的分类存放及处置；</w:t>
            </w:r>
          </w:p>
          <w:p>
            <w:pPr>
              <w:pStyle w:val="11"/>
              <w:rPr>
                <w:rFonts w:ascii="宋体" w:hAnsi="宋体"/>
              </w:rPr>
            </w:pPr>
            <w:r>
              <w:rPr>
                <w:rFonts w:hint="eastAsia" w:ascii="宋体" w:hAnsi="宋体"/>
              </w:rPr>
              <w:t>3、管理方案的制定和实施；</w:t>
            </w:r>
          </w:p>
          <w:p>
            <w:pPr>
              <w:pStyle w:val="11"/>
              <w:rPr>
                <w:rFonts w:ascii="宋体" w:hAnsi="宋体"/>
              </w:rPr>
            </w:pPr>
            <w:r>
              <w:rPr>
                <w:rFonts w:hint="eastAsia" w:ascii="宋体" w:hAnsi="宋体"/>
              </w:rPr>
              <w:t>4、操作规程的制定和实施；</w:t>
            </w:r>
          </w:p>
          <w:p>
            <w:pPr>
              <w:pStyle w:val="11"/>
              <w:rPr>
                <w:rFonts w:ascii="宋体" w:hAnsi="宋体"/>
              </w:rPr>
            </w:pPr>
            <w:r>
              <w:rPr>
                <w:rFonts w:hint="eastAsia" w:ascii="宋体" w:hAnsi="宋体"/>
              </w:rPr>
              <w:t>5、应急预案的制定、实施、评价和演练。</w:t>
            </w:r>
          </w:p>
        </w:tc>
        <w:tc>
          <w:tcPr>
            <w:tcW w:w="2957"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cs="Calibri"/>
                <w:kern w:val="0"/>
                <w:szCs w:val="20"/>
              </w:rPr>
            </w:pPr>
            <w:r>
              <w:rPr>
                <w:rFonts w:hint="eastAsia" w:ascii="宋体" w:hAnsi="宋体"/>
              </w:rPr>
              <w:t>1、每年组织一次内审；</w:t>
            </w:r>
          </w:p>
          <w:p>
            <w:pPr>
              <w:pStyle w:val="11"/>
              <w:rPr>
                <w:rFonts w:ascii="宋体" w:hAnsi="宋体"/>
              </w:rPr>
            </w:pPr>
            <w:r>
              <w:rPr>
                <w:rFonts w:hint="eastAsia" w:ascii="宋体" w:hAnsi="宋体"/>
              </w:rPr>
              <w:t>2、体系的管理评审及第三方认证公司每年跟踪审核；</w:t>
            </w:r>
          </w:p>
          <w:p>
            <w:pPr>
              <w:pStyle w:val="11"/>
              <w:rPr>
                <w:rFonts w:ascii="宋体" w:hAnsi="宋体"/>
              </w:rPr>
            </w:pPr>
            <w:r>
              <w:rPr>
                <w:rFonts w:hint="eastAsia" w:ascii="宋体" w:hAnsi="宋体"/>
              </w:rPr>
              <w:t>3、每年委托有资质的机构进行排放监测；</w:t>
            </w:r>
          </w:p>
          <w:p>
            <w:pPr>
              <w:pStyle w:val="11"/>
              <w:rPr>
                <w:rFonts w:ascii="宋体" w:hAnsi="宋体"/>
              </w:rPr>
            </w:pPr>
            <w:r>
              <w:rPr>
                <w:rFonts w:hint="eastAsia" w:ascii="宋体" w:hAnsi="宋体"/>
              </w:rPr>
              <w:t>4、危险废弃物委托有资质单位进行处理；</w:t>
            </w:r>
          </w:p>
          <w:p>
            <w:pPr>
              <w:pStyle w:val="11"/>
              <w:rPr>
                <w:rFonts w:ascii="宋体" w:hAnsi="宋体"/>
              </w:rPr>
            </w:pPr>
            <w:r>
              <w:rPr>
                <w:rFonts w:hint="eastAsia" w:ascii="宋体" w:hAnsi="宋体"/>
              </w:rPr>
              <w:t>5、公司每年组织环境应急预案演练；</w:t>
            </w:r>
          </w:p>
          <w:p>
            <w:pPr>
              <w:pStyle w:val="11"/>
              <w:rPr>
                <w:rFonts w:ascii="宋体" w:hAnsi="宋体"/>
              </w:rPr>
            </w:pPr>
            <w:r>
              <w:rPr>
                <w:rFonts w:hint="eastAsia" w:ascii="宋体" w:hAnsi="宋体"/>
              </w:rPr>
              <w:t>6、公司每月安排人员对现场进行检查。</w:t>
            </w:r>
          </w:p>
        </w:tc>
        <w:tc>
          <w:tcPr>
            <w:tcW w:w="1134" w:type="dxa"/>
            <w:tcBorders>
              <w:top w:val="single" w:color="4E6128" w:sz="4" w:space="0"/>
              <w:left w:val="single" w:color="4E6128" w:sz="4" w:space="0"/>
              <w:bottom w:val="single" w:color="4E6128" w:sz="4" w:space="0"/>
              <w:right w:val="single" w:color="4E6128" w:sz="12" w:space="0"/>
            </w:tcBorders>
            <w:shd w:val="clear" w:color="auto" w:fill="FFFFFF"/>
            <w:vAlign w:val="center"/>
          </w:tcPr>
          <w:p>
            <w:pPr>
              <w:pStyle w:val="11"/>
              <w:rPr>
                <w:rFonts w:ascii="宋体" w:hAnsi="宋体"/>
              </w:rPr>
            </w:pPr>
            <w:r>
              <w:rPr>
                <w:rFonts w:hint="eastAsia" w:ascii="宋体" w:hAnsi="宋体"/>
              </w:rPr>
              <w:t>达标排放率100%</w:t>
            </w:r>
          </w:p>
        </w:tc>
      </w:tr>
      <w:tr>
        <w:tblPrEx>
          <w:tblBorders>
            <w:top w:val="single" w:color="4E6128" w:sz="12" w:space="0"/>
            <w:left w:val="single" w:color="4E6128" w:sz="12" w:space="0"/>
            <w:bottom w:val="single" w:color="4E6128" w:sz="12" w:space="0"/>
            <w:right w:val="single" w:color="4E6128" w:sz="12" w:space="0"/>
            <w:insideH w:val="single" w:color="4E6128" w:sz="4" w:space="0"/>
            <w:insideV w:val="single" w:color="4E6128" w:sz="4" w:space="0"/>
          </w:tblBorders>
          <w:shd w:val="clear" w:color="auto" w:fill="FFFFFF"/>
          <w:tblCellMar>
            <w:top w:w="0" w:type="dxa"/>
            <w:left w:w="108" w:type="dxa"/>
            <w:bottom w:w="0" w:type="dxa"/>
            <w:right w:w="108" w:type="dxa"/>
          </w:tblCellMar>
        </w:tblPrEx>
        <w:trPr>
          <w:trHeight w:val="89" w:hRule="atLeast"/>
          <w:jc w:val="center"/>
        </w:trPr>
        <w:tc>
          <w:tcPr>
            <w:tcW w:w="708" w:type="dxa"/>
            <w:tcBorders>
              <w:top w:val="single" w:color="4E6128" w:sz="4" w:space="0"/>
              <w:left w:val="single" w:color="4E6128" w:sz="12" w:space="0"/>
              <w:bottom w:val="single" w:color="4E6128" w:sz="4" w:space="0"/>
              <w:right w:val="single" w:color="4E6128" w:sz="4" w:space="0"/>
            </w:tcBorders>
            <w:shd w:val="clear" w:color="auto" w:fill="FFFFFF"/>
            <w:vAlign w:val="center"/>
          </w:tcPr>
          <w:p>
            <w:pPr>
              <w:pStyle w:val="11"/>
              <w:rPr>
                <w:rFonts w:ascii="宋体" w:hAnsi="宋体"/>
              </w:rPr>
            </w:pPr>
            <w:r>
              <w:rPr>
                <w:rFonts w:hint="eastAsia" w:ascii="宋体" w:hAnsi="宋体"/>
              </w:rPr>
              <w:t>职业健康</w:t>
            </w:r>
          </w:p>
        </w:tc>
        <w:tc>
          <w:tcPr>
            <w:tcW w:w="1002"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rPr>
            </w:pPr>
            <w:r>
              <w:rPr>
                <w:rFonts w:hint="eastAsia" w:ascii="宋体" w:hAnsi="宋体"/>
              </w:rPr>
              <w:t>职业危害因素和危险源</w:t>
            </w:r>
          </w:p>
        </w:tc>
        <w:tc>
          <w:tcPr>
            <w:tcW w:w="2700"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cs="Calibri"/>
                <w:kern w:val="0"/>
                <w:szCs w:val="20"/>
              </w:rPr>
            </w:pPr>
            <w:r>
              <w:rPr>
                <w:rFonts w:hint="eastAsia" w:ascii="宋体" w:hAnsi="宋体"/>
              </w:rPr>
              <w:t>1、职业危害因素的识别、评价和更新；</w:t>
            </w:r>
          </w:p>
          <w:p>
            <w:pPr>
              <w:pStyle w:val="11"/>
              <w:rPr>
                <w:rFonts w:ascii="宋体" w:hAnsi="宋体"/>
              </w:rPr>
            </w:pPr>
            <w:r>
              <w:rPr>
                <w:rFonts w:hint="eastAsia" w:ascii="宋体" w:hAnsi="宋体"/>
              </w:rPr>
              <w:t>2、管理方案的制定和实施；</w:t>
            </w:r>
          </w:p>
          <w:p>
            <w:pPr>
              <w:pStyle w:val="11"/>
              <w:rPr>
                <w:rFonts w:ascii="宋体" w:hAnsi="宋体"/>
              </w:rPr>
            </w:pPr>
            <w:r>
              <w:rPr>
                <w:rFonts w:hint="eastAsia" w:ascii="宋体" w:hAnsi="宋体"/>
              </w:rPr>
              <w:t>3、操作规程的制定和实施；</w:t>
            </w:r>
          </w:p>
          <w:p>
            <w:pPr>
              <w:pStyle w:val="11"/>
              <w:rPr>
                <w:rFonts w:ascii="宋体" w:hAnsi="宋体"/>
              </w:rPr>
            </w:pPr>
            <w:r>
              <w:rPr>
                <w:rFonts w:hint="eastAsia" w:ascii="宋体" w:hAnsi="宋体"/>
              </w:rPr>
              <w:t>4、劳动防护用品的发放与正确佩戴。</w:t>
            </w:r>
          </w:p>
        </w:tc>
        <w:tc>
          <w:tcPr>
            <w:tcW w:w="2957" w:type="dxa"/>
            <w:tcBorders>
              <w:top w:val="single" w:color="4E6128" w:sz="4" w:space="0"/>
              <w:left w:val="single" w:color="4E6128" w:sz="4" w:space="0"/>
              <w:bottom w:val="single" w:color="4E6128" w:sz="4" w:space="0"/>
              <w:right w:val="single" w:color="4E6128" w:sz="4" w:space="0"/>
            </w:tcBorders>
            <w:shd w:val="clear" w:color="auto" w:fill="FFFFFF"/>
            <w:vAlign w:val="center"/>
          </w:tcPr>
          <w:p>
            <w:pPr>
              <w:pStyle w:val="11"/>
              <w:rPr>
                <w:rFonts w:ascii="宋体" w:hAnsi="宋体"/>
              </w:rPr>
            </w:pPr>
            <w:r>
              <w:rPr>
                <w:rFonts w:hint="eastAsia" w:ascii="宋体" w:hAnsi="宋体"/>
              </w:rPr>
              <w:t>1、每年组织一次体系内审；</w:t>
            </w:r>
          </w:p>
          <w:p>
            <w:pPr>
              <w:pStyle w:val="11"/>
              <w:rPr>
                <w:rFonts w:ascii="宋体" w:hAnsi="宋体"/>
              </w:rPr>
            </w:pPr>
            <w:r>
              <w:rPr>
                <w:rFonts w:hint="eastAsia" w:ascii="宋体" w:hAnsi="宋体"/>
              </w:rPr>
              <w:t>2、定期检查员工劳动防护用品佩戴情况；</w:t>
            </w:r>
          </w:p>
          <w:p>
            <w:pPr>
              <w:pStyle w:val="11"/>
              <w:rPr>
                <w:rFonts w:ascii="宋体" w:hAnsi="宋体"/>
              </w:rPr>
            </w:pPr>
            <w:r>
              <w:rPr>
                <w:rFonts w:hint="eastAsia" w:ascii="宋体" w:hAnsi="宋体"/>
              </w:rPr>
              <w:t>3、按法规要求定期实施职业病体检；</w:t>
            </w:r>
          </w:p>
          <w:p>
            <w:pPr>
              <w:pStyle w:val="11"/>
              <w:rPr>
                <w:rFonts w:ascii="宋体" w:hAnsi="宋体"/>
              </w:rPr>
            </w:pPr>
            <w:r>
              <w:rPr>
                <w:rFonts w:hint="eastAsia" w:ascii="宋体" w:hAnsi="宋体"/>
              </w:rPr>
              <w:t>4、每年委托有资质单位进行职业病危害因素现场检测；</w:t>
            </w:r>
          </w:p>
          <w:p>
            <w:pPr>
              <w:pStyle w:val="11"/>
              <w:rPr>
                <w:rFonts w:ascii="宋体" w:hAnsi="宋体"/>
              </w:rPr>
            </w:pPr>
            <w:r>
              <w:rPr>
                <w:rFonts w:hint="eastAsia" w:ascii="宋体" w:hAnsi="宋体"/>
              </w:rPr>
              <w:t>5、职业健康法律法规合规性评价。</w:t>
            </w:r>
          </w:p>
        </w:tc>
        <w:tc>
          <w:tcPr>
            <w:tcW w:w="1134" w:type="dxa"/>
            <w:tcBorders>
              <w:top w:val="single" w:color="4E6128" w:sz="4" w:space="0"/>
              <w:left w:val="single" w:color="4E6128" w:sz="4" w:space="0"/>
              <w:bottom w:val="single" w:color="4E6128" w:sz="4" w:space="0"/>
              <w:right w:val="single" w:color="4E6128" w:sz="12" w:space="0"/>
            </w:tcBorders>
            <w:shd w:val="clear" w:color="auto" w:fill="FFFFFF"/>
            <w:vAlign w:val="center"/>
          </w:tcPr>
          <w:p>
            <w:pPr>
              <w:pStyle w:val="11"/>
              <w:rPr>
                <w:rFonts w:ascii="宋体" w:hAnsi="宋体"/>
              </w:rPr>
            </w:pPr>
            <w:r>
              <w:rPr>
                <w:rFonts w:hint="eastAsia" w:ascii="宋体" w:hAnsi="宋体"/>
              </w:rPr>
              <w:t>职业病事故为0</w:t>
            </w:r>
          </w:p>
        </w:tc>
      </w:tr>
      <w:tr>
        <w:tblPrEx>
          <w:tblBorders>
            <w:top w:val="single" w:color="4E6128" w:sz="12" w:space="0"/>
            <w:left w:val="single" w:color="4E6128" w:sz="12" w:space="0"/>
            <w:bottom w:val="single" w:color="4E6128" w:sz="12" w:space="0"/>
            <w:right w:val="single" w:color="4E6128" w:sz="12" w:space="0"/>
            <w:insideH w:val="single" w:color="4E6128" w:sz="4" w:space="0"/>
            <w:insideV w:val="single" w:color="4E6128" w:sz="4" w:space="0"/>
          </w:tblBorders>
          <w:shd w:val="clear" w:color="auto" w:fill="FFFFFF"/>
          <w:tblCellMar>
            <w:top w:w="0" w:type="dxa"/>
            <w:left w:w="108" w:type="dxa"/>
            <w:bottom w:w="0" w:type="dxa"/>
            <w:right w:w="108" w:type="dxa"/>
          </w:tblCellMar>
        </w:tblPrEx>
        <w:trPr>
          <w:trHeight w:val="2058" w:hRule="atLeast"/>
          <w:jc w:val="center"/>
        </w:trPr>
        <w:tc>
          <w:tcPr>
            <w:tcW w:w="708" w:type="dxa"/>
            <w:tcBorders>
              <w:top w:val="single" w:color="4E6128" w:sz="4" w:space="0"/>
              <w:left w:val="single" w:color="4E6128" w:sz="12" w:space="0"/>
              <w:bottom w:val="single" w:color="4E6128" w:sz="12" w:space="0"/>
              <w:right w:val="single" w:color="4E6128" w:sz="4" w:space="0"/>
            </w:tcBorders>
            <w:shd w:val="clear" w:color="auto" w:fill="FFFFFF"/>
            <w:vAlign w:val="center"/>
          </w:tcPr>
          <w:p>
            <w:pPr>
              <w:pStyle w:val="11"/>
              <w:rPr>
                <w:rFonts w:ascii="宋体" w:hAnsi="宋体"/>
              </w:rPr>
            </w:pPr>
            <w:r>
              <w:rPr>
                <w:rFonts w:hint="eastAsia" w:ascii="宋体" w:hAnsi="宋体"/>
              </w:rPr>
              <w:t>能源消耗及资源综合利用</w:t>
            </w:r>
          </w:p>
        </w:tc>
        <w:tc>
          <w:tcPr>
            <w:tcW w:w="1002" w:type="dxa"/>
            <w:tcBorders>
              <w:top w:val="single" w:color="4E6128" w:sz="4" w:space="0"/>
              <w:left w:val="single" w:color="4E6128" w:sz="4" w:space="0"/>
              <w:bottom w:val="single" w:color="4E6128" w:sz="12" w:space="0"/>
              <w:right w:val="single" w:color="4E6128" w:sz="4" w:space="0"/>
            </w:tcBorders>
            <w:shd w:val="clear" w:color="auto" w:fill="FFFFFF"/>
            <w:vAlign w:val="center"/>
          </w:tcPr>
          <w:p>
            <w:pPr>
              <w:pStyle w:val="11"/>
              <w:ind w:left="210" w:hanging="210" w:hangingChars="100"/>
              <w:rPr>
                <w:rFonts w:ascii="宋体" w:hAnsi="宋体"/>
              </w:rPr>
            </w:pPr>
            <w:r>
              <w:rPr>
                <w:rFonts w:hint="eastAsia" w:ascii="宋体" w:hAnsi="宋体"/>
              </w:rPr>
              <w:t>水、电等</w:t>
            </w:r>
          </w:p>
        </w:tc>
        <w:tc>
          <w:tcPr>
            <w:tcW w:w="2700" w:type="dxa"/>
            <w:tcBorders>
              <w:top w:val="single" w:color="4E6128" w:sz="4" w:space="0"/>
              <w:left w:val="single" w:color="4E6128" w:sz="4" w:space="0"/>
              <w:bottom w:val="single" w:color="4E6128" w:sz="12" w:space="0"/>
              <w:right w:val="single" w:color="4E6128" w:sz="4" w:space="0"/>
            </w:tcBorders>
            <w:shd w:val="clear" w:color="auto" w:fill="FFFFFF"/>
            <w:vAlign w:val="center"/>
          </w:tcPr>
          <w:p>
            <w:pPr>
              <w:pStyle w:val="11"/>
              <w:rPr>
                <w:rFonts w:ascii="宋体" w:hAnsi="宋体"/>
              </w:rPr>
            </w:pPr>
            <w:r>
              <w:rPr>
                <w:rFonts w:hint="eastAsia" w:ascii="宋体" w:hAnsi="宋体"/>
              </w:rPr>
              <w:t>能源计量器具的管理；</w:t>
            </w:r>
          </w:p>
          <w:p>
            <w:pPr>
              <w:pStyle w:val="11"/>
              <w:rPr>
                <w:rFonts w:ascii="宋体" w:hAnsi="宋体"/>
              </w:rPr>
            </w:pPr>
            <w:r>
              <w:rPr>
                <w:rFonts w:hint="eastAsia" w:ascii="宋体" w:hAnsi="宋体"/>
              </w:rPr>
              <w:t>能源的统计分析；</w:t>
            </w:r>
          </w:p>
          <w:p>
            <w:pPr>
              <w:pStyle w:val="11"/>
              <w:rPr>
                <w:rFonts w:ascii="宋体" w:hAnsi="宋体"/>
              </w:rPr>
            </w:pPr>
            <w:r>
              <w:rPr>
                <w:rFonts w:hint="eastAsia" w:ascii="宋体" w:hAnsi="宋体"/>
              </w:rPr>
              <w:t>节能项目的实施。</w:t>
            </w:r>
          </w:p>
        </w:tc>
        <w:tc>
          <w:tcPr>
            <w:tcW w:w="2957" w:type="dxa"/>
            <w:tcBorders>
              <w:top w:val="single" w:color="4E6128" w:sz="4" w:space="0"/>
              <w:left w:val="single" w:color="4E6128" w:sz="4" w:space="0"/>
              <w:bottom w:val="single" w:color="4E6128" w:sz="12" w:space="0"/>
              <w:right w:val="single" w:color="4E6128" w:sz="4" w:space="0"/>
            </w:tcBorders>
            <w:shd w:val="clear" w:color="auto" w:fill="FFFFFF"/>
            <w:vAlign w:val="center"/>
          </w:tcPr>
          <w:p>
            <w:pPr>
              <w:pStyle w:val="11"/>
              <w:rPr>
                <w:rFonts w:ascii="宋体" w:hAnsi="宋体"/>
              </w:rPr>
            </w:pPr>
            <w:r>
              <w:rPr>
                <w:rFonts w:hint="eastAsia" w:ascii="宋体" w:hAnsi="宋体"/>
              </w:rPr>
              <w:t>1、能源数据统计、分析及能耗数据公布；</w:t>
            </w:r>
          </w:p>
          <w:p>
            <w:pPr>
              <w:pStyle w:val="11"/>
              <w:rPr>
                <w:rFonts w:ascii="宋体" w:hAnsi="宋体"/>
              </w:rPr>
            </w:pPr>
            <w:r>
              <w:rPr>
                <w:rFonts w:hint="eastAsia" w:ascii="宋体" w:hAnsi="宋体"/>
              </w:rPr>
              <w:t>2、政府主管部门组织的检查与主要耗能设备监测；</w:t>
            </w:r>
          </w:p>
          <w:p>
            <w:pPr>
              <w:pStyle w:val="11"/>
              <w:rPr>
                <w:rFonts w:ascii="宋体" w:hAnsi="宋体"/>
              </w:rPr>
            </w:pPr>
            <w:r>
              <w:rPr>
                <w:rFonts w:hint="eastAsia" w:ascii="宋体" w:hAnsi="宋体"/>
              </w:rPr>
              <w:t>3、对节能项目的实施结果进行检查。</w:t>
            </w:r>
          </w:p>
        </w:tc>
        <w:tc>
          <w:tcPr>
            <w:tcW w:w="1134" w:type="dxa"/>
            <w:tcBorders>
              <w:top w:val="single" w:color="4E6128" w:sz="4" w:space="0"/>
              <w:left w:val="single" w:color="4E6128" w:sz="4" w:space="0"/>
              <w:bottom w:val="single" w:color="4E6128" w:sz="12" w:space="0"/>
              <w:right w:val="single" w:color="4E6128" w:sz="12" w:space="0"/>
            </w:tcBorders>
            <w:shd w:val="clear" w:color="auto" w:fill="FFFFFF"/>
            <w:vAlign w:val="center"/>
          </w:tcPr>
          <w:p>
            <w:pPr>
              <w:pStyle w:val="11"/>
              <w:rPr>
                <w:rFonts w:ascii="宋体" w:hAnsi="宋体"/>
              </w:rPr>
            </w:pPr>
            <w:r>
              <w:rPr>
                <w:rFonts w:hint="eastAsia" w:ascii="宋体" w:hAnsi="宋体"/>
              </w:rPr>
              <w:t>单位产值电耗持续下降</w:t>
            </w:r>
          </w:p>
        </w:tc>
      </w:tr>
    </w:tbl>
    <w:p>
      <w:pPr>
        <w:spacing w:line="500" w:lineRule="atLeast"/>
        <w:ind w:right="240"/>
        <w:jc w:val="left"/>
      </w:pPr>
    </w:p>
    <w:p>
      <w:pPr>
        <w:spacing w:line="500" w:lineRule="atLeast"/>
        <w:ind w:right="240" w:firstLine="480" w:firstLineChars="200"/>
        <w:jc w:val="left"/>
      </w:pPr>
      <w:r>
        <w:rPr>
          <w:rFonts w:hint="eastAsia"/>
        </w:rPr>
        <w:t>公司通过每年的内部审核、二方审核、第三方监督审核等方式，分析评价公司对质量管理、环境保护、能源消耗、资源综合利用、健康与安全等方面的问题，采取措施，实施改善。</w:t>
      </w:r>
    </w:p>
    <w:p>
      <w:pPr>
        <w:spacing w:line="500" w:lineRule="atLeast"/>
        <w:ind w:right="240" w:firstLine="480" w:firstLineChars="200"/>
        <w:jc w:val="left"/>
      </w:pPr>
      <w:r>
        <w:rPr>
          <w:rFonts w:hint="eastAsia"/>
        </w:rPr>
        <w:t>2）道德行为</w:t>
      </w:r>
    </w:p>
    <w:p>
      <w:pPr>
        <w:spacing w:line="500" w:lineRule="atLeast"/>
        <w:ind w:right="240" w:firstLine="480" w:firstLineChars="200"/>
        <w:jc w:val="left"/>
      </w:pPr>
      <w:r>
        <w:rPr>
          <w:rFonts w:hint="eastAsia"/>
        </w:rPr>
        <w:t>公司的道德行为主要表现为：在企业内部主要对高层领导、中层领导及员工负责；在企业之间主要对供应商和客户负责；在企业外部主要对客户、股东、政府和社会等负责。</w:t>
      </w:r>
    </w:p>
    <w:p>
      <w:pPr>
        <w:spacing w:line="500" w:lineRule="atLeast"/>
        <w:ind w:right="240" w:firstLine="480" w:firstLineChars="200"/>
        <w:jc w:val="left"/>
      </w:pPr>
      <w:r>
        <w:rPr>
          <w:rFonts w:hint="eastAsia"/>
        </w:rPr>
        <w:t>企业内部：对高层领导，每年进行一次民主测评，主要针对政治思想、领导艺术、业务等方面的评价；对中层领导，制定领导干部廉洁从业若干规定，以提高中层领导的道德及管理水平。对公司员工，有各项行政管理制度等约束性规范。</w:t>
      </w:r>
    </w:p>
    <w:p>
      <w:pPr>
        <w:spacing w:line="500" w:lineRule="atLeast"/>
        <w:ind w:right="240" w:firstLine="480" w:firstLineChars="200"/>
        <w:jc w:val="left"/>
      </w:pPr>
      <w:r>
        <w:rPr>
          <w:rFonts w:hint="eastAsia"/>
        </w:rPr>
        <w:t>企业之间：对供应商和客户，公司与之建有良好的合作伙伴关系，定期会晤交流。在日常的原辅材料采购环节，采购部严格按照《民法典》和《采购控制程序》操作实施，使合同违约率和索赔金额尽可能降低。对于顾客，确保质量、遵守合同。公司的产品在质量上主要执行国家标准、行业标准和浙江制造团体标准。产品质量广受好评。同时在履行营销合同方面，公司始终坚持按《民法典》等营商法规，守法经营，与广大客户无论大小均有良好合作。</w:t>
      </w:r>
    </w:p>
    <w:p>
      <w:pPr>
        <w:spacing w:line="500" w:lineRule="atLeast"/>
        <w:ind w:right="240" w:firstLine="480" w:firstLineChars="200"/>
        <w:jc w:val="left"/>
      </w:pPr>
      <w:r>
        <w:rPr>
          <w:rFonts w:hint="eastAsia"/>
        </w:rPr>
        <w:t>对于政府和社会组织：依法纳税、廉洁自律。依法纳税是一个企业的基本道德底线，也是实现经济社会良性发展的重要保障。公司作为行业龙头企业，依法纳税为经济社会发展做出了企业应有的贡献。</w:t>
      </w:r>
    </w:p>
    <w:p>
      <w:pPr>
        <w:spacing w:line="500" w:lineRule="atLeast"/>
        <w:ind w:right="240" w:firstLine="480" w:firstLineChars="200"/>
        <w:jc w:val="left"/>
      </w:pPr>
      <w:r>
        <w:rPr>
          <w:rFonts w:hint="eastAsia"/>
        </w:rPr>
        <w:t>3）公益支持</w:t>
      </w:r>
    </w:p>
    <w:p>
      <w:pPr>
        <w:spacing w:line="500" w:lineRule="atLeast"/>
        <w:ind w:right="240" w:firstLine="480" w:firstLineChars="200"/>
        <w:jc w:val="left"/>
      </w:pPr>
      <w:r>
        <w:rPr>
          <w:rFonts w:hint="eastAsia"/>
        </w:rPr>
        <w:t>公司强调企业的社会责任，真诚回报社会。公司最高管理层十分重视公益支持事业，大力倡导并以身作则，公司也将随着企业的不断发展坚持不懈的把公益事业发展下去。公司根据发展战略每年规划公益支持的费用和公益支持的方向。</w:t>
      </w:r>
    </w:p>
    <w:p>
      <w:pPr>
        <w:spacing w:line="500" w:lineRule="atLeast"/>
        <w:ind w:right="240" w:firstLine="480" w:firstLineChars="200"/>
        <w:jc w:val="left"/>
      </w:pPr>
    </w:p>
    <w:p>
      <w:pPr>
        <w:spacing w:line="500" w:lineRule="atLeast"/>
        <w:ind w:right="240" w:firstLine="480" w:firstLineChars="200"/>
        <w:jc w:val="left"/>
      </w:pPr>
      <w:r>
        <w:rPr>
          <w:rFonts w:hint="eastAsia"/>
        </w:rPr>
        <w:t>（四）质量信用记录</w:t>
      </w:r>
    </w:p>
    <w:p>
      <w:pPr>
        <w:spacing w:line="500" w:lineRule="atLeast"/>
        <w:ind w:right="240" w:firstLine="480" w:firstLineChars="200"/>
        <w:jc w:val="left"/>
      </w:pPr>
      <w:r>
        <w:rPr>
          <w:rFonts w:hint="eastAsia"/>
        </w:rPr>
        <w:t>公司严格履行管理职责，严控生产过程，确保产品合格。自公司成立以来，未出现过重大质量投诉，未因质量问题受到市场监管机构处罚。</w:t>
      </w:r>
    </w:p>
    <w:p>
      <w:pPr>
        <w:spacing w:line="500" w:lineRule="atLeast"/>
        <w:ind w:right="240" w:firstLine="480" w:firstLineChars="200"/>
        <w:jc w:val="left"/>
      </w:pPr>
    </w:p>
    <w:p>
      <w:pPr>
        <w:spacing w:line="500" w:lineRule="atLeast"/>
        <w:ind w:right="240" w:firstLine="482" w:firstLineChars="200"/>
        <w:jc w:val="center"/>
        <w:rPr>
          <w:b/>
          <w:bCs/>
        </w:rPr>
      </w:pPr>
      <w:r>
        <w:rPr>
          <w:rFonts w:hint="eastAsia"/>
          <w:b/>
          <w:bCs/>
        </w:rPr>
        <w:t>报告结语</w:t>
      </w:r>
    </w:p>
    <w:p>
      <w:pPr>
        <w:spacing w:line="500" w:lineRule="atLeast"/>
        <w:ind w:right="240" w:firstLine="480" w:firstLineChars="200"/>
        <w:jc w:val="left"/>
      </w:pPr>
    </w:p>
    <w:p>
      <w:pPr>
        <w:spacing w:line="500" w:lineRule="atLeast"/>
        <w:ind w:right="240" w:firstLine="480" w:firstLineChars="200"/>
        <w:jc w:val="left"/>
      </w:pPr>
      <w:r>
        <w:rPr>
          <w:rFonts w:hint="eastAsia"/>
        </w:rPr>
        <w:t>质量诚信建设是全社会的共同责任，需要大家的共同努力。公司将继续努力奋斗，诚信经营，承担起企业质量安全第一责任人的责任，为行业健康有序、又好又快发展做出我们应有的贡献！</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舒体">
    <w:altName w:val="宋体"/>
    <w:panose1 w:val="02010601030101010101"/>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1B16F7"/>
    <w:multiLevelType w:val="multilevel"/>
    <w:tmpl w:val="4F1B16F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yNjNmZjc0NzIxNzZiMjkwMDM5NGVmNzRlNTBjY2UifQ=="/>
  </w:docVars>
  <w:rsids>
    <w:rsidRoot w:val="00B03DC4"/>
    <w:rsid w:val="00090F23"/>
    <w:rsid w:val="0016727D"/>
    <w:rsid w:val="001678F2"/>
    <w:rsid w:val="001E286B"/>
    <w:rsid w:val="002B1239"/>
    <w:rsid w:val="003A7569"/>
    <w:rsid w:val="005A2741"/>
    <w:rsid w:val="006E67F4"/>
    <w:rsid w:val="00737025"/>
    <w:rsid w:val="00917076"/>
    <w:rsid w:val="00AD1A15"/>
    <w:rsid w:val="00B03DC4"/>
    <w:rsid w:val="12EF0807"/>
    <w:rsid w:val="1D513170"/>
    <w:rsid w:val="4BE835D6"/>
    <w:rsid w:val="4F167A3D"/>
    <w:rsid w:val="642363BA"/>
    <w:rsid w:val="767C08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line="240" w:lineRule="auto"/>
    </w:pPr>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tabs>
        <w:tab w:val="right" w:leader="dot" w:pos="9241"/>
      </w:tabs>
      <w:spacing w:beforeLines="25" w:afterLines="25"/>
      <w:jc w:val="left"/>
    </w:pPr>
    <w:rPr>
      <w:rFonts w:ascii="宋体"/>
      <w:szCs w:val="21"/>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表格内容 Char"/>
    <w:link w:val="11"/>
    <w:qFormat/>
    <w:uiPriority w:val="99"/>
    <w:rPr>
      <w:szCs w:val="18"/>
    </w:rPr>
  </w:style>
  <w:style w:type="paragraph" w:customStyle="1" w:styleId="11">
    <w:name w:val="表格内容"/>
    <w:basedOn w:val="1"/>
    <w:link w:val="10"/>
    <w:qFormat/>
    <w:uiPriority w:val="99"/>
    <w:pPr>
      <w:widowControl/>
      <w:spacing w:line="240" w:lineRule="auto"/>
      <w:jc w:val="left"/>
    </w:pPr>
    <w:rPr>
      <w:rFonts w:asciiTheme="minorHAnsi" w:hAnsiTheme="minorHAnsi" w:eastAsiaTheme="minorEastAsia" w:cstheme="minorBidi"/>
      <w:sz w:val="21"/>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microsoft.com/office/2007/relationships/diagramDrawing" Target="diagrams/drawing1.xml"/><Relationship Id="rId10" Type="http://schemas.openxmlformats.org/officeDocument/2006/relationships/diagramColors" Target="diagrams/colors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CB809AB-CCA4-479A-9E92-FE69F0BD5C50}" type="doc">
      <dgm:prSet loTypeId="urn:microsoft.com/office/officeart/2005/8/layout/orgChart1#2" loCatId="hierarchy" qsTypeId="urn:microsoft.com/office/officeart/2005/8/quickstyle/simple3#2" qsCatId="simple" csTypeId="urn:microsoft.com/office/officeart/2005/8/colors/accent1_2#2" csCatId="accent1" phldr="1"/>
      <dgm:spPr/>
      <dgm:t>
        <a:bodyPr/>
        <a:p>
          <a:endParaRPr lang="zh-CN" altLang="en-US"/>
        </a:p>
      </dgm:t>
    </dgm:pt>
    <dgm:pt modelId="{89FCA1F2-F45D-491A-8AF2-87456FCE2181}">
      <dgm:prSet phldrT="[文本]"/>
      <dgm:spPr/>
      <dgm:t>
        <a:bodyPr/>
        <a:p>
          <a:r>
            <a:rPr lang="zh-CN" altLang="en-US"/>
            <a:t>董事</a:t>
          </a:r>
        </a:p>
      </dgm:t>
    </dgm:pt>
    <dgm:pt modelId="{2132BCD3-0A72-4DF3-BC0A-0D96740F4BD1}" cxnId="{03F27AF3-FB3A-431A-BB4E-88BEDBFAAC71}" type="parTrans">
      <dgm:prSet/>
      <dgm:spPr/>
      <dgm:t>
        <a:bodyPr/>
        <a:p>
          <a:endParaRPr lang="zh-CN" altLang="en-US"/>
        </a:p>
      </dgm:t>
    </dgm:pt>
    <dgm:pt modelId="{9511D443-0570-4AE0-9765-15BCAF054CF5}" cxnId="{03F27AF3-FB3A-431A-BB4E-88BEDBFAAC71}" type="sibTrans">
      <dgm:prSet/>
      <dgm:spPr/>
      <dgm:t>
        <a:bodyPr/>
        <a:p>
          <a:endParaRPr lang="zh-CN" altLang="en-US"/>
        </a:p>
      </dgm:t>
    </dgm:pt>
    <dgm:pt modelId="{A84EB8E7-AB9B-4AEE-8ADC-D2147A12D657}">
      <dgm:prSet phldrT="[文本]"/>
      <dgm:spPr/>
      <dgm:t>
        <a:bodyPr/>
        <a:p>
          <a:r>
            <a:rPr lang="zh-CN" altLang="en-US"/>
            <a:t>总经理</a:t>
          </a:r>
        </a:p>
      </dgm:t>
    </dgm:pt>
    <dgm:pt modelId="{0562D80D-F552-48E7-9A2E-54DDBF3E46C6}" cxnId="{207E5F95-C2BB-4216-A257-998F8DC07DA6}" type="parTrans">
      <dgm:prSet/>
      <dgm:spPr/>
      <dgm:t>
        <a:bodyPr/>
        <a:p>
          <a:endParaRPr lang="zh-CN" altLang="en-US"/>
        </a:p>
      </dgm:t>
    </dgm:pt>
    <dgm:pt modelId="{4535DF2B-188D-4709-A653-5A390D84E41F}" cxnId="{207E5F95-C2BB-4216-A257-998F8DC07DA6}" type="sibTrans">
      <dgm:prSet/>
      <dgm:spPr/>
      <dgm:t>
        <a:bodyPr/>
        <a:p>
          <a:endParaRPr lang="zh-CN" altLang="en-US"/>
        </a:p>
      </dgm:t>
    </dgm:pt>
    <dgm:pt modelId="{EC248403-72E7-4060-8AB2-443F50B1751B}">
      <dgm:prSet/>
      <dgm:spPr/>
      <dgm:t>
        <a:bodyPr/>
        <a:p>
          <a:r>
            <a:rPr lang="zh-CN" altLang="en-US"/>
            <a:t>业务部</a:t>
          </a:r>
        </a:p>
      </dgm:t>
    </dgm:pt>
    <dgm:pt modelId="{E2F8293B-3878-4E7B-B0B7-4D21EFCCEA7C}" cxnId="{BAA22A06-79C3-4D06-B247-DC829B5B3B44}" type="parTrans">
      <dgm:prSet/>
      <dgm:spPr/>
      <dgm:t>
        <a:bodyPr/>
        <a:p>
          <a:endParaRPr lang="zh-CN" altLang="en-US"/>
        </a:p>
      </dgm:t>
    </dgm:pt>
    <dgm:pt modelId="{D26DB9D6-DA2F-424F-9A04-58D778DCD222}" cxnId="{BAA22A06-79C3-4D06-B247-DC829B5B3B44}" type="sibTrans">
      <dgm:prSet/>
      <dgm:spPr/>
      <dgm:t>
        <a:bodyPr/>
        <a:p>
          <a:endParaRPr lang="zh-CN" altLang="en-US"/>
        </a:p>
      </dgm:t>
    </dgm:pt>
    <dgm:pt modelId="{74678057-2569-445F-99B1-EA8D2C31A42B}">
      <dgm:prSet/>
      <dgm:spPr/>
      <dgm:t>
        <a:bodyPr/>
        <a:p>
          <a:r>
            <a:rPr lang="zh-CN" altLang="en-US"/>
            <a:t>行政部</a:t>
          </a:r>
        </a:p>
      </dgm:t>
    </dgm:pt>
    <dgm:pt modelId="{F796DB1B-F1F8-409E-A81A-69594AEE78B8}" cxnId="{9FB9BB45-4DE2-4048-8641-DF37A317AAD5}" type="parTrans">
      <dgm:prSet/>
      <dgm:spPr/>
      <dgm:t>
        <a:bodyPr/>
        <a:p>
          <a:endParaRPr lang="zh-CN" altLang="en-US"/>
        </a:p>
      </dgm:t>
    </dgm:pt>
    <dgm:pt modelId="{67FAD528-11E2-4C5B-82A9-774BA76DF71A}" cxnId="{9FB9BB45-4DE2-4048-8641-DF37A317AAD5}" type="sibTrans">
      <dgm:prSet/>
      <dgm:spPr/>
      <dgm:t>
        <a:bodyPr/>
        <a:p>
          <a:endParaRPr lang="zh-CN" altLang="en-US"/>
        </a:p>
      </dgm:t>
    </dgm:pt>
    <dgm:pt modelId="{0909E1BC-E016-4093-94FA-00CB69C65BE2}">
      <dgm:prSet/>
      <dgm:spPr/>
      <dgm:t>
        <a:bodyPr/>
        <a:p>
          <a:r>
            <a:rPr lang="zh-CN" altLang="en-US"/>
            <a:t>质检部</a:t>
          </a:r>
        </a:p>
      </dgm:t>
    </dgm:pt>
    <dgm:pt modelId="{8D7D2344-3A93-4AB7-8D44-63F3D9D8651D}" cxnId="{0CFCF490-437F-498A-81EF-B08443B282AD}" type="parTrans">
      <dgm:prSet/>
      <dgm:spPr/>
      <dgm:t>
        <a:bodyPr/>
        <a:p>
          <a:endParaRPr lang="zh-CN" altLang="en-US"/>
        </a:p>
      </dgm:t>
    </dgm:pt>
    <dgm:pt modelId="{1196EE34-27AF-43C1-8D35-9504DF3811B8}" cxnId="{0CFCF490-437F-498A-81EF-B08443B282AD}" type="sibTrans">
      <dgm:prSet/>
      <dgm:spPr/>
      <dgm:t>
        <a:bodyPr/>
        <a:p>
          <a:endParaRPr lang="zh-CN" altLang="en-US"/>
        </a:p>
      </dgm:t>
    </dgm:pt>
    <dgm:pt modelId="{F7793179-2C35-445C-96F1-DCCB032F71DA}">
      <dgm:prSet/>
      <dgm:spPr/>
      <dgm:t>
        <a:bodyPr/>
        <a:p>
          <a:r>
            <a:rPr lang="zh-CN" altLang="en-US"/>
            <a:t>技术部</a:t>
          </a:r>
        </a:p>
      </dgm:t>
    </dgm:pt>
    <dgm:pt modelId="{89389ABC-465B-465F-86DA-9B29C00FD823}" cxnId="{7AB01B5C-C937-4E80-B7E2-DEFB06087097}" type="parTrans">
      <dgm:prSet/>
      <dgm:spPr/>
      <dgm:t>
        <a:bodyPr/>
        <a:p>
          <a:endParaRPr lang="zh-CN" altLang="en-US"/>
        </a:p>
      </dgm:t>
    </dgm:pt>
    <dgm:pt modelId="{F0BCECD6-83D1-433E-B459-8103FFDEFA78}" cxnId="{7AB01B5C-C937-4E80-B7E2-DEFB06087097}" type="sibTrans">
      <dgm:prSet/>
      <dgm:spPr/>
      <dgm:t>
        <a:bodyPr/>
        <a:p>
          <a:endParaRPr lang="zh-CN" altLang="en-US"/>
        </a:p>
      </dgm:t>
    </dgm:pt>
    <dgm:pt modelId="{2FB61637-52B4-46C1-9290-9D3C9CD1C416}">
      <dgm:prSet/>
      <dgm:spPr/>
      <dgm:t>
        <a:bodyPr/>
        <a:p>
          <a:r>
            <a:rPr lang="zh-CN" altLang="en-US"/>
            <a:t>生产部</a:t>
          </a:r>
        </a:p>
      </dgm:t>
    </dgm:pt>
    <dgm:pt modelId="{A06BCD38-5CEC-445D-9F43-1AC3D7A77F48}" cxnId="{6F208D59-87AA-4EE5-ADC7-8D205287F161}" type="parTrans">
      <dgm:prSet/>
      <dgm:spPr/>
      <dgm:t>
        <a:bodyPr/>
        <a:p>
          <a:endParaRPr lang="zh-CN" altLang="en-US"/>
        </a:p>
      </dgm:t>
    </dgm:pt>
    <dgm:pt modelId="{833E3EDF-D470-464C-88EC-BCD018CEB417}" cxnId="{6F208D59-87AA-4EE5-ADC7-8D205287F161}" type="sibTrans">
      <dgm:prSet/>
      <dgm:spPr/>
      <dgm:t>
        <a:bodyPr/>
        <a:p>
          <a:endParaRPr lang="zh-CN" altLang="en-US"/>
        </a:p>
      </dgm:t>
    </dgm:pt>
    <dgm:pt modelId="{FF27B921-3503-4FAE-A114-8F11D251C652}">
      <dgm:prSet/>
      <dgm:spPr/>
      <dgm:t>
        <a:bodyPr/>
        <a:p>
          <a:r>
            <a:rPr lang="zh-CN" altLang="en-US"/>
            <a:t>财务部</a:t>
          </a:r>
        </a:p>
      </dgm:t>
    </dgm:pt>
    <dgm:pt modelId="{56B04939-4035-462F-8359-106BE797510F}" cxnId="{9650E4C2-FC9C-4C24-AFF1-29820CCBDCB8}" type="parTrans">
      <dgm:prSet/>
      <dgm:spPr/>
      <dgm:t>
        <a:bodyPr/>
        <a:p>
          <a:endParaRPr lang="zh-CN" altLang="en-US"/>
        </a:p>
      </dgm:t>
    </dgm:pt>
    <dgm:pt modelId="{508C3932-41FF-48F6-8369-3E93BD02FD7B}" cxnId="{9650E4C2-FC9C-4C24-AFF1-29820CCBDCB8}" type="sibTrans">
      <dgm:prSet/>
      <dgm:spPr/>
      <dgm:t>
        <a:bodyPr/>
        <a:p>
          <a:endParaRPr lang="zh-CN" altLang="en-US"/>
        </a:p>
      </dgm:t>
    </dgm:pt>
    <dgm:pt modelId="{D0314D50-CEA9-4865-AB62-C23338C350FA}">
      <dgm:prSet phldrT="[文本]"/>
      <dgm:spPr/>
      <dgm:t>
        <a:bodyPr/>
        <a:p>
          <a:r>
            <a:rPr lang="zh-CN" altLang="en-US"/>
            <a:t>监事</a:t>
          </a:r>
        </a:p>
      </dgm:t>
    </dgm:pt>
    <dgm:pt modelId="{83D95384-DC48-4B39-806B-5F39BB3AE3FA}" cxnId="{18B32709-3E04-4782-8C62-407629312B07}" type="parTrans">
      <dgm:prSet/>
      <dgm:spPr/>
      <dgm:t>
        <a:bodyPr/>
        <a:p>
          <a:endParaRPr lang="zh-CN" altLang="en-US"/>
        </a:p>
      </dgm:t>
    </dgm:pt>
    <dgm:pt modelId="{DA47BA2A-A090-4C0B-A328-15B20FF6BB97}" cxnId="{18B32709-3E04-4782-8C62-407629312B07}" type="sibTrans">
      <dgm:prSet/>
      <dgm:spPr/>
      <dgm:t>
        <a:bodyPr/>
        <a:p>
          <a:endParaRPr lang="zh-CN" altLang="en-US"/>
        </a:p>
      </dgm:t>
    </dgm:pt>
    <dgm:pt modelId="{DE152456-B511-49BB-BEA1-0127DF24F662}" type="asst">
      <dgm:prSet/>
      <dgm:spPr/>
      <dgm:t>
        <a:bodyPr/>
        <a:p>
          <a:r>
            <a:rPr lang="zh-CN" altLang="en-US"/>
            <a:t>管理者代表</a:t>
          </a:r>
        </a:p>
      </dgm:t>
    </dgm:pt>
    <dgm:pt modelId="{3E4A8F24-1D8C-4807-BDD5-143EF1399503}" cxnId="{4C435533-CC1F-4188-9EEF-9A54B1D064F1}" type="parTrans">
      <dgm:prSet/>
      <dgm:spPr/>
      <dgm:t>
        <a:bodyPr/>
        <a:p>
          <a:endParaRPr lang="zh-CN" altLang="en-US"/>
        </a:p>
      </dgm:t>
    </dgm:pt>
    <dgm:pt modelId="{C2DE0EDF-A9EE-499D-88CA-A6C6CD320872}" cxnId="{4C435533-CC1F-4188-9EEF-9A54B1D064F1}" type="sibTrans">
      <dgm:prSet/>
      <dgm:spPr/>
      <dgm:t>
        <a:bodyPr/>
        <a:p>
          <a:endParaRPr lang="zh-CN" altLang="en-US"/>
        </a:p>
      </dgm:t>
    </dgm:pt>
    <dgm:pt modelId="{E4E85A1F-25C4-47BF-8C7B-3808DCD6A9CF}">
      <dgm:prSet/>
      <dgm:spPr/>
      <dgm:t>
        <a:bodyPr/>
        <a:p>
          <a:r>
            <a:rPr lang="zh-CN" altLang="en-US"/>
            <a:t>采购部</a:t>
          </a:r>
        </a:p>
      </dgm:t>
    </dgm:pt>
    <dgm:pt modelId="{E7F01661-B648-4D68-8E86-0777E762540D}" cxnId="{662CAE7E-6AC8-48EE-8794-52E7E9D45112}" type="parTrans">
      <dgm:prSet/>
      <dgm:spPr/>
      <dgm:t>
        <a:bodyPr/>
        <a:p>
          <a:endParaRPr lang="zh-CN" altLang="en-US"/>
        </a:p>
      </dgm:t>
    </dgm:pt>
    <dgm:pt modelId="{66FA7FB6-4C1E-4173-A8EE-02A3225EF290}" cxnId="{662CAE7E-6AC8-48EE-8794-52E7E9D45112}" type="sibTrans">
      <dgm:prSet/>
      <dgm:spPr/>
      <dgm:t>
        <a:bodyPr/>
        <a:p>
          <a:endParaRPr lang="zh-CN" altLang="en-US"/>
        </a:p>
      </dgm:t>
    </dgm:pt>
    <dgm:pt modelId="{62D7EBF7-A26A-4FB1-9D9A-DB01169A078B}" type="pres">
      <dgm:prSet presAssocID="{8CB809AB-CCA4-479A-9E92-FE69F0BD5C50}" presName="hierChild1" presStyleCnt="0">
        <dgm:presLayoutVars>
          <dgm:orgChart val="1"/>
          <dgm:chPref val="1"/>
          <dgm:dir/>
          <dgm:animOne val="branch"/>
          <dgm:animLvl val="lvl"/>
          <dgm:resizeHandles/>
        </dgm:presLayoutVars>
      </dgm:prSet>
      <dgm:spPr/>
      <dgm:t>
        <a:bodyPr/>
        <a:p>
          <a:endParaRPr lang="zh-CN" altLang="en-US"/>
        </a:p>
      </dgm:t>
    </dgm:pt>
    <dgm:pt modelId="{13A10372-421B-4FA8-8705-5B6D336E837E}" type="pres">
      <dgm:prSet presAssocID="{89FCA1F2-F45D-491A-8AF2-87456FCE2181}" presName="hierRoot1" presStyleCnt="0">
        <dgm:presLayoutVars>
          <dgm:hierBranch val="init"/>
        </dgm:presLayoutVars>
      </dgm:prSet>
      <dgm:spPr/>
    </dgm:pt>
    <dgm:pt modelId="{3B99D992-0392-4D42-821E-8E5F2D21167F}" type="pres">
      <dgm:prSet presAssocID="{89FCA1F2-F45D-491A-8AF2-87456FCE2181}" presName="rootComposite1" presStyleCnt="0"/>
      <dgm:spPr/>
    </dgm:pt>
    <dgm:pt modelId="{63BE2B20-9CFE-4553-8414-1AE9E0A901FE}" type="pres">
      <dgm:prSet presAssocID="{89FCA1F2-F45D-491A-8AF2-87456FCE2181}" presName="rootText1" presStyleLbl="node0" presStyleIdx="0" presStyleCnt="2">
        <dgm:presLayoutVars>
          <dgm:chPref val="3"/>
        </dgm:presLayoutVars>
      </dgm:prSet>
      <dgm:spPr/>
      <dgm:t>
        <a:bodyPr/>
        <a:p>
          <a:endParaRPr lang="zh-CN" altLang="en-US"/>
        </a:p>
      </dgm:t>
    </dgm:pt>
    <dgm:pt modelId="{3BDCCEC7-C42F-410A-842E-24BFF6307415}" type="pres">
      <dgm:prSet presAssocID="{89FCA1F2-F45D-491A-8AF2-87456FCE2181}" presName="rootConnector1" presStyleLbl="node1" presStyleIdx="0" presStyleCnt="0"/>
      <dgm:spPr/>
      <dgm:t>
        <a:bodyPr/>
        <a:p>
          <a:endParaRPr lang="zh-CN" altLang="en-US"/>
        </a:p>
      </dgm:t>
    </dgm:pt>
    <dgm:pt modelId="{2E644AFC-E6D8-4063-94C6-4B6E4F824D7E}" type="pres">
      <dgm:prSet presAssocID="{89FCA1F2-F45D-491A-8AF2-87456FCE2181}" presName="hierChild2" presStyleCnt="0"/>
      <dgm:spPr/>
    </dgm:pt>
    <dgm:pt modelId="{96BF8BB3-78AC-4AFC-AA21-EB864F59AA06}" type="pres">
      <dgm:prSet presAssocID="{0562D80D-F552-48E7-9A2E-54DDBF3E46C6}" presName="Name37" presStyleLbl="parChTrans1D2" presStyleIdx="0" presStyleCnt="1"/>
      <dgm:spPr/>
      <dgm:t>
        <a:bodyPr/>
        <a:p>
          <a:endParaRPr lang="zh-CN" altLang="en-US"/>
        </a:p>
      </dgm:t>
    </dgm:pt>
    <dgm:pt modelId="{B5640321-ED7D-4184-9959-FC47F0743E9B}" type="pres">
      <dgm:prSet presAssocID="{A84EB8E7-AB9B-4AEE-8ADC-D2147A12D657}" presName="hierRoot2" presStyleCnt="0">
        <dgm:presLayoutVars>
          <dgm:hierBranch/>
        </dgm:presLayoutVars>
      </dgm:prSet>
      <dgm:spPr/>
    </dgm:pt>
    <dgm:pt modelId="{D5959708-7109-4308-B6D3-3AA0762D1607}" type="pres">
      <dgm:prSet presAssocID="{A84EB8E7-AB9B-4AEE-8ADC-D2147A12D657}" presName="rootComposite" presStyleCnt="0"/>
      <dgm:spPr/>
    </dgm:pt>
    <dgm:pt modelId="{E9FDED8A-1A18-4A5B-90F2-C5A143329853}" type="pres">
      <dgm:prSet presAssocID="{A84EB8E7-AB9B-4AEE-8ADC-D2147A12D657}" presName="rootText" presStyleLbl="node2" presStyleIdx="0" presStyleCnt="1">
        <dgm:presLayoutVars>
          <dgm:chPref val="3"/>
        </dgm:presLayoutVars>
      </dgm:prSet>
      <dgm:spPr/>
      <dgm:t>
        <a:bodyPr/>
        <a:p>
          <a:endParaRPr lang="zh-CN" altLang="en-US"/>
        </a:p>
      </dgm:t>
    </dgm:pt>
    <dgm:pt modelId="{32D6A0D1-30A6-4C48-9E83-1EFA06870CE7}" type="pres">
      <dgm:prSet presAssocID="{A84EB8E7-AB9B-4AEE-8ADC-D2147A12D657}" presName="rootConnector" presStyleLbl="node2" presStyleIdx="0" presStyleCnt="1"/>
      <dgm:spPr/>
      <dgm:t>
        <a:bodyPr/>
        <a:p>
          <a:endParaRPr lang="zh-CN" altLang="en-US"/>
        </a:p>
      </dgm:t>
    </dgm:pt>
    <dgm:pt modelId="{79F635DB-7FD3-427E-AB70-D7E484D3F082}" type="pres">
      <dgm:prSet presAssocID="{A84EB8E7-AB9B-4AEE-8ADC-D2147A12D657}" presName="hierChild4" presStyleCnt="0"/>
      <dgm:spPr/>
    </dgm:pt>
    <dgm:pt modelId="{D84BD5EA-6A1D-4326-AC70-8EDEBE030081}" type="pres">
      <dgm:prSet presAssocID="{E2F8293B-3878-4E7B-B0B7-4D21EFCCEA7C}" presName="Name35" presStyleLbl="parChTrans1D3" presStyleIdx="0" presStyleCnt="8"/>
      <dgm:spPr/>
      <dgm:t>
        <a:bodyPr/>
        <a:p>
          <a:endParaRPr lang="zh-CN" altLang="en-US"/>
        </a:p>
      </dgm:t>
    </dgm:pt>
    <dgm:pt modelId="{0BF1D6D7-B721-473D-80E7-CC18B3EE0060}" type="pres">
      <dgm:prSet presAssocID="{EC248403-72E7-4060-8AB2-443F50B1751B}" presName="hierRoot2" presStyleCnt="0">
        <dgm:presLayoutVars>
          <dgm:hierBranch val="init"/>
        </dgm:presLayoutVars>
      </dgm:prSet>
      <dgm:spPr/>
    </dgm:pt>
    <dgm:pt modelId="{0558C259-2018-4D12-81A3-4AD7CF27BA42}" type="pres">
      <dgm:prSet presAssocID="{EC248403-72E7-4060-8AB2-443F50B1751B}" presName="rootComposite" presStyleCnt="0"/>
      <dgm:spPr/>
    </dgm:pt>
    <dgm:pt modelId="{BDC2FB19-E85E-465B-8471-7181621FC187}" type="pres">
      <dgm:prSet presAssocID="{EC248403-72E7-4060-8AB2-443F50B1751B}" presName="rootText" presStyleLbl="node3" presStyleIdx="0" presStyleCnt="7">
        <dgm:presLayoutVars>
          <dgm:chPref val="3"/>
        </dgm:presLayoutVars>
      </dgm:prSet>
      <dgm:spPr/>
      <dgm:t>
        <a:bodyPr/>
        <a:p>
          <a:endParaRPr lang="zh-CN" altLang="en-US"/>
        </a:p>
      </dgm:t>
    </dgm:pt>
    <dgm:pt modelId="{71F3CBD9-43DA-402D-8323-B536014104BB}" type="pres">
      <dgm:prSet presAssocID="{EC248403-72E7-4060-8AB2-443F50B1751B}" presName="rootConnector" presStyleLbl="node3" presStyleIdx="0" presStyleCnt="7"/>
      <dgm:spPr/>
      <dgm:t>
        <a:bodyPr/>
        <a:p>
          <a:endParaRPr lang="zh-CN" altLang="en-US"/>
        </a:p>
      </dgm:t>
    </dgm:pt>
    <dgm:pt modelId="{C7BCF6A2-8142-48A1-BCB0-2ABA257F42E9}" type="pres">
      <dgm:prSet presAssocID="{EC248403-72E7-4060-8AB2-443F50B1751B}" presName="hierChild4" presStyleCnt="0"/>
      <dgm:spPr/>
    </dgm:pt>
    <dgm:pt modelId="{79E62B8A-4421-4DED-ACDA-D2644D163807}" type="pres">
      <dgm:prSet presAssocID="{EC248403-72E7-4060-8AB2-443F50B1751B}" presName="hierChild5" presStyleCnt="0"/>
      <dgm:spPr/>
    </dgm:pt>
    <dgm:pt modelId="{67929A2C-C938-4DF2-99ED-F930570CFAD0}" type="pres">
      <dgm:prSet presAssocID="{F796DB1B-F1F8-409E-A81A-69594AEE78B8}" presName="Name35" presStyleLbl="parChTrans1D3" presStyleIdx="1" presStyleCnt="8"/>
      <dgm:spPr/>
      <dgm:t>
        <a:bodyPr/>
        <a:p>
          <a:endParaRPr lang="zh-CN" altLang="en-US"/>
        </a:p>
      </dgm:t>
    </dgm:pt>
    <dgm:pt modelId="{0A9D997B-A413-4A43-901F-DB5E49ABAB9F}" type="pres">
      <dgm:prSet presAssocID="{74678057-2569-445F-99B1-EA8D2C31A42B}" presName="hierRoot2" presStyleCnt="0">
        <dgm:presLayoutVars>
          <dgm:hierBranch val="init"/>
        </dgm:presLayoutVars>
      </dgm:prSet>
      <dgm:spPr/>
    </dgm:pt>
    <dgm:pt modelId="{17DE378D-87C5-4574-B4FE-8585835C3AE3}" type="pres">
      <dgm:prSet presAssocID="{74678057-2569-445F-99B1-EA8D2C31A42B}" presName="rootComposite" presStyleCnt="0"/>
      <dgm:spPr/>
    </dgm:pt>
    <dgm:pt modelId="{4881C240-CBBC-4B82-84D0-10850C1F5C7D}" type="pres">
      <dgm:prSet presAssocID="{74678057-2569-445F-99B1-EA8D2C31A42B}" presName="rootText" presStyleLbl="node3" presStyleIdx="1" presStyleCnt="7">
        <dgm:presLayoutVars>
          <dgm:chPref val="3"/>
        </dgm:presLayoutVars>
      </dgm:prSet>
      <dgm:spPr/>
      <dgm:t>
        <a:bodyPr/>
        <a:p>
          <a:endParaRPr lang="zh-CN" altLang="en-US"/>
        </a:p>
      </dgm:t>
    </dgm:pt>
    <dgm:pt modelId="{1EF5E509-0679-4DA6-872C-70A890430F33}" type="pres">
      <dgm:prSet presAssocID="{74678057-2569-445F-99B1-EA8D2C31A42B}" presName="rootConnector" presStyleLbl="node3" presStyleIdx="1" presStyleCnt="7"/>
      <dgm:spPr/>
      <dgm:t>
        <a:bodyPr/>
        <a:p>
          <a:endParaRPr lang="zh-CN" altLang="en-US"/>
        </a:p>
      </dgm:t>
    </dgm:pt>
    <dgm:pt modelId="{3163C560-1B84-42E8-A7D3-A7AC854EF843}" type="pres">
      <dgm:prSet presAssocID="{74678057-2569-445F-99B1-EA8D2C31A42B}" presName="hierChild4" presStyleCnt="0"/>
      <dgm:spPr/>
    </dgm:pt>
    <dgm:pt modelId="{3E8FFC93-AB6E-4FAD-9165-25F3799F4937}" type="pres">
      <dgm:prSet presAssocID="{74678057-2569-445F-99B1-EA8D2C31A42B}" presName="hierChild5" presStyleCnt="0"/>
      <dgm:spPr/>
    </dgm:pt>
    <dgm:pt modelId="{8F351845-1C54-4971-A976-4C470F99359C}" type="pres">
      <dgm:prSet presAssocID="{8D7D2344-3A93-4AB7-8D44-63F3D9D8651D}" presName="Name35" presStyleLbl="parChTrans1D3" presStyleIdx="2" presStyleCnt="8"/>
      <dgm:spPr/>
      <dgm:t>
        <a:bodyPr/>
        <a:p>
          <a:endParaRPr lang="zh-CN" altLang="en-US"/>
        </a:p>
      </dgm:t>
    </dgm:pt>
    <dgm:pt modelId="{6922CA26-FFED-4675-9A8D-274737004AE3}" type="pres">
      <dgm:prSet presAssocID="{0909E1BC-E016-4093-94FA-00CB69C65BE2}" presName="hierRoot2" presStyleCnt="0">
        <dgm:presLayoutVars>
          <dgm:hierBranch val="init"/>
        </dgm:presLayoutVars>
      </dgm:prSet>
      <dgm:spPr/>
    </dgm:pt>
    <dgm:pt modelId="{9274575C-7845-4EA4-9B57-140E303A416A}" type="pres">
      <dgm:prSet presAssocID="{0909E1BC-E016-4093-94FA-00CB69C65BE2}" presName="rootComposite" presStyleCnt="0"/>
      <dgm:spPr/>
    </dgm:pt>
    <dgm:pt modelId="{F3863385-FD52-42E5-82C5-F793396F4576}" type="pres">
      <dgm:prSet presAssocID="{0909E1BC-E016-4093-94FA-00CB69C65BE2}" presName="rootText" presStyleLbl="node3" presStyleIdx="2" presStyleCnt="7">
        <dgm:presLayoutVars>
          <dgm:chPref val="3"/>
        </dgm:presLayoutVars>
      </dgm:prSet>
      <dgm:spPr/>
      <dgm:t>
        <a:bodyPr/>
        <a:p>
          <a:endParaRPr lang="zh-CN" altLang="en-US"/>
        </a:p>
      </dgm:t>
    </dgm:pt>
    <dgm:pt modelId="{A641DD78-2D3D-44E5-B61D-FBABD7E0C921}" type="pres">
      <dgm:prSet presAssocID="{0909E1BC-E016-4093-94FA-00CB69C65BE2}" presName="rootConnector" presStyleLbl="node3" presStyleIdx="2" presStyleCnt="7"/>
      <dgm:spPr/>
      <dgm:t>
        <a:bodyPr/>
        <a:p>
          <a:endParaRPr lang="zh-CN" altLang="en-US"/>
        </a:p>
      </dgm:t>
    </dgm:pt>
    <dgm:pt modelId="{9DBE35B5-84F7-412F-94FE-57EC2135FD7F}" type="pres">
      <dgm:prSet presAssocID="{0909E1BC-E016-4093-94FA-00CB69C65BE2}" presName="hierChild4" presStyleCnt="0"/>
      <dgm:spPr/>
    </dgm:pt>
    <dgm:pt modelId="{12902264-BE09-40E5-9A07-D41EF5E4EFE2}" type="pres">
      <dgm:prSet presAssocID="{0909E1BC-E016-4093-94FA-00CB69C65BE2}" presName="hierChild5" presStyleCnt="0"/>
      <dgm:spPr/>
    </dgm:pt>
    <dgm:pt modelId="{7E4C0556-5BD7-49CA-9560-89C015C4E17B}" type="pres">
      <dgm:prSet presAssocID="{89389ABC-465B-465F-86DA-9B29C00FD823}" presName="Name35" presStyleLbl="parChTrans1D3" presStyleIdx="3" presStyleCnt="8"/>
      <dgm:spPr/>
      <dgm:t>
        <a:bodyPr/>
        <a:p>
          <a:endParaRPr lang="zh-CN" altLang="en-US"/>
        </a:p>
      </dgm:t>
    </dgm:pt>
    <dgm:pt modelId="{6D3571EA-F427-4B50-A8B8-F3FAFD226B35}" type="pres">
      <dgm:prSet presAssocID="{F7793179-2C35-445C-96F1-DCCB032F71DA}" presName="hierRoot2" presStyleCnt="0">
        <dgm:presLayoutVars>
          <dgm:hierBranch val="init"/>
        </dgm:presLayoutVars>
      </dgm:prSet>
      <dgm:spPr/>
    </dgm:pt>
    <dgm:pt modelId="{DFF8B964-6597-40D8-A55E-D55705733B6F}" type="pres">
      <dgm:prSet presAssocID="{F7793179-2C35-445C-96F1-DCCB032F71DA}" presName="rootComposite" presStyleCnt="0"/>
      <dgm:spPr/>
    </dgm:pt>
    <dgm:pt modelId="{66EA7A45-3062-417F-85FD-FCCE84862468}" type="pres">
      <dgm:prSet presAssocID="{F7793179-2C35-445C-96F1-DCCB032F71DA}" presName="rootText" presStyleLbl="node3" presStyleIdx="3" presStyleCnt="7">
        <dgm:presLayoutVars>
          <dgm:chPref val="3"/>
        </dgm:presLayoutVars>
      </dgm:prSet>
      <dgm:spPr/>
      <dgm:t>
        <a:bodyPr/>
        <a:p>
          <a:endParaRPr lang="zh-CN" altLang="en-US"/>
        </a:p>
      </dgm:t>
    </dgm:pt>
    <dgm:pt modelId="{2C7AC0E5-7C38-463A-A4EF-DC616A7DB4DD}" type="pres">
      <dgm:prSet presAssocID="{F7793179-2C35-445C-96F1-DCCB032F71DA}" presName="rootConnector" presStyleLbl="node3" presStyleIdx="3" presStyleCnt="7"/>
      <dgm:spPr/>
      <dgm:t>
        <a:bodyPr/>
        <a:p>
          <a:endParaRPr lang="zh-CN" altLang="en-US"/>
        </a:p>
      </dgm:t>
    </dgm:pt>
    <dgm:pt modelId="{0F931991-9E55-4872-9033-C9292801D0ED}" type="pres">
      <dgm:prSet presAssocID="{F7793179-2C35-445C-96F1-DCCB032F71DA}" presName="hierChild4" presStyleCnt="0"/>
      <dgm:spPr/>
    </dgm:pt>
    <dgm:pt modelId="{368F519D-6262-4DE1-BF5B-FD54B9C14949}" type="pres">
      <dgm:prSet presAssocID="{F7793179-2C35-445C-96F1-DCCB032F71DA}" presName="hierChild5" presStyleCnt="0"/>
      <dgm:spPr/>
    </dgm:pt>
    <dgm:pt modelId="{DE60AFC1-50E8-4B66-BD31-E429833DB5FF}" type="pres">
      <dgm:prSet presAssocID="{A06BCD38-5CEC-445D-9F43-1AC3D7A77F48}" presName="Name35" presStyleLbl="parChTrans1D3" presStyleIdx="4" presStyleCnt="8"/>
      <dgm:spPr/>
      <dgm:t>
        <a:bodyPr/>
        <a:p>
          <a:endParaRPr lang="zh-CN" altLang="en-US"/>
        </a:p>
      </dgm:t>
    </dgm:pt>
    <dgm:pt modelId="{DBAF1C10-D7D7-4F6A-BA62-83C39CB635D5}" type="pres">
      <dgm:prSet presAssocID="{2FB61637-52B4-46C1-9290-9D3C9CD1C416}" presName="hierRoot2" presStyleCnt="0">
        <dgm:presLayoutVars>
          <dgm:hierBranch val="init"/>
        </dgm:presLayoutVars>
      </dgm:prSet>
      <dgm:spPr/>
    </dgm:pt>
    <dgm:pt modelId="{C7C11817-C1E6-4097-BCBA-19D58116D03F}" type="pres">
      <dgm:prSet presAssocID="{2FB61637-52B4-46C1-9290-9D3C9CD1C416}" presName="rootComposite" presStyleCnt="0"/>
      <dgm:spPr/>
    </dgm:pt>
    <dgm:pt modelId="{15E9D028-79C1-48E2-996E-8EDD0C929503}" type="pres">
      <dgm:prSet presAssocID="{2FB61637-52B4-46C1-9290-9D3C9CD1C416}" presName="rootText" presStyleLbl="node3" presStyleIdx="4" presStyleCnt="7">
        <dgm:presLayoutVars>
          <dgm:chPref val="3"/>
        </dgm:presLayoutVars>
      </dgm:prSet>
      <dgm:spPr/>
      <dgm:t>
        <a:bodyPr/>
        <a:p>
          <a:endParaRPr lang="zh-CN" altLang="en-US"/>
        </a:p>
      </dgm:t>
    </dgm:pt>
    <dgm:pt modelId="{C3B21518-9E89-475F-AEC0-F06CDE9D9604}" type="pres">
      <dgm:prSet presAssocID="{2FB61637-52B4-46C1-9290-9D3C9CD1C416}" presName="rootConnector" presStyleLbl="node3" presStyleIdx="4" presStyleCnt="7"/>
      <dgm:spPr/>
      <dgm:t>
        <a:bodyPr/>
        <a:p>
          <a:endParaRPr lang="zh-CN" altLang="en-US"/>
        </a:p>
      </dgm:t>
    </dgm:pt>
    <dgm:pt modelId="{F2E05974-21C3-44B7-BC47-7F3E4BF66205}" type="pres">
      <dgm:prSet presAssocID="{2FB61637-52B4-46C1-9290-9D3C9CD1C416}" presName="hierChild4" presStyleCnt="0"/>
      <dgm:spPr/>
    </dgm:pt>
    <dgm:pt modelId="{5BEE51C8-4A85-4415-99AB-1149EED24447}" type="pres">
      <dgm:prSet presAssocID="{2FB61637-52B4-46C1-9290-9D3C9CD1C416}" presName="hierChild5" presStyleCnt="0"/>
      <dgm:spPr/>
    </dgm:pt>
    <dgm:pt modelId="{D519D6A9-FABA-4C14-9421-46A7DE336AEF}" type="pres">
      <dgm:prSet presAssocID="{E7F01661-B648-4D68-8E86-0777E762540D}" presName="Name35" presStyleLbl="parChTrans1D3" presStyleIdx="5" presStyleCnt="8"/>
      <dgm:spPr/>
      <dgm:t>
        <a:bodyPr/>
        <a:p>
          <a:endParaRPr lang="zh-CN" altLang="en-US"/>
        </a:p>
      </dgm:t>
    </dgm:pt>
    <dgm:pt modelId="{FABD0129-E666-4706-BF29-777A9B2D1AC6}" type="pres">
      <dgm:prSet presAssocID="{E4E85A1F-25C4-47BF-8C7B-3808DCD6A9CF}" presName="hierRoot2" presStyleCnt="0">
        <dgm:presLayoutVars>
          <dgm:hierBranch val="init"/>
        </dgm:presLayoutVars>
      </dgm:prSet>
      <dgm:spPr/>
    </dgm:pt>
    <dgm:pt modelId="{AC18017F-76A2-4ADC-B2A0-7215C579EADB}" type="pres">
      <dgm:prSet presAssocID="{E4E85A1F-25C4-47BF-8C7B-3808DCD6A9CF}" presName="rootComposite" presStyleCnt="0"/>
      <dgm:spPr/>
    </dgm:pt>
    <dgm:pt modelId="{E8D280BB-7285-4E81-938F-12AC6303F7FD}" type="pres">
      <dgm:prSet presAssocID="{E4E85A1F-25C4-47BF-8C7B-3808DCD6A9CF}" presName="rootText" presStyleLbl="node3" presStyleIdx="5" presStyleCnt="7">
        <dgm:presLayoutVars>
          <dgm:chPref val="3"/>
        </dgm:presLayoutVars>
      </dgm:prSet>
      <dgm:spPr/>
      <dgm:t>
        <a:bodyPr/>
        <a:p>
          <a:endParaRPr lang="zh-CN" altLang="en-US"/>
        </a:p>
      </dgm:t>
    </dgm:pt>
    <dgm:pt modelId="{DB7467CC-0DCE-4B67-AAC0-64D272F867BA}" type="pres">
      <dgm:prSet presAssocID="{E4E85A1F-25C4-47BF-8C7B-3808DCD6A9CF}" presName="rootConnector" presStyleLbl="node3" presStyleIdx="5" presStyleCnt="7"/>
      <dgm:spPr/>
      <dgm:t>
        <a:bodyPr/>
        <a:p>
          <a:endParaRPr lang="zh-CN" altLang="en-US"/>
        </a:p>
      </dgm:t>
    </dgm:pt>
    <dgm:pt modelId="{27F501B5-1CCB-4229-A5A5-36275A51EF28}" type="pres">
      <dgm:prSet presAssocID="{E4E85A1F-25C4-47BF-8C7B-3808DCD6A9CF}" presName="hierChild4" presStyleCnt="0"/>
      <dgm:spPr/>
    </dgm:pt>
    <dgm:pt modelId="{B659EEF4-DA19-4AEE-AD1B-F7E487545A58}" type="pres">
      <dgm:prSet presAssocID="{E4E85A1F-25C4-47BF-8C7B-3808DCD6A9CF}" presName="hierChild5" presStyleCnt="0"/>
      <dgm:spPr/>
    </dgm:pt>
    <dgm:pt modelId="{A32A93F9-7D62-4F56-B46E-81516FBD081D}" type="pres">
      <dgm:prSet presAssocID="{56B04939-4035-462F-8359-106BE797510F}" presName="Name35" presStyleLbl="parChTrans1D3" presStyleIdx="6" presStyleCnt="8"/>
      <dgm:spPr/>
      <dgm:t>
        <a:bodyPr/>
        <a:p>
          <a:endParaRPr lang="zh-CN" altLang="en-US"/>
        </a:p>
      </dgm:t>
    </dgm:pt>
    <dgm:pt modelId="{D4758560-314D-4576-8E43-461DA3E559E1}" type="pres">
      <dgm:prSet presAssocID="{FF27B921-3503-4FAE-A114-8F11D251C652}" presName="hierRoot2" presStyleCnt="0">
        <dgm:presLayoutVars>
          <dgm:hierBranch val="init"/>
        </dgm:presLayoutVars>
      </dgm:prSet>
      <dgm:spPr/>
    </dgm:pt>
    <dgm:pt modelId="{649EA1CD-A304-47AB-8746-32F0F7850D77}" type="pres">
      <dgm:prSet presAssocID="{FF27B921-3503-4FAE-A114-8F11D251C652}" presName="rootComposite" presStyleCnt="0"/>
      <dgm:spPr/>
    </dgm:pt>
    <dgm:pt modelId="{82F7E541-B17B-475A-9637-FD04329700AD}" type="pres">
      <dgm:prSet presAssocID="{FF27B921-3503-4FAE-A114-8F11D251C652}" presName="rootText" presStyleLbl="node3" presStyleIdx="6" presStyleCnt="7">
        <dgm:presLayoutVars>
          <dgm:chPref val="3"/>
        </dgm:presLayoutVars>
      </dgm:prSet>
      <dgm:spPr/>
      <dgm:t>
        <a:bodyPr/>
        <a:p>
          <a:endParaRPr lang="zh-CN" altLang="en-US"/>
        </a:p>
      </dgm:t>
    </dgm:pt>
    <dgm:pt modelId="{8CDC79C3-8FC7-45E1-B72E-81A7AD9AFEB9}" type="pres">
      <dgm:prSet presAssocID="{FF27B921-3503-4FAE-A114-8F11D251C652}" presName="rootConnector" presStyleLbl="node3" presStyleIdx="6" presStyleCnt="7"/>
      <dgm:spPr/>
      <dgm:t>
        <a:bodyPr/>
        <a:p>
          <a:endParaRPr lang="zh-CN" altLang="en-US"/>
        </a:p>
      </dgm:t>
    </dgm:pt>
    <dgm:pt modelId="{E49670EA-9840-421A-8D44-56E5680727CB}" type="pres">
      <dgm:prSet presAssocID="{FF27B921-3503-4FAE-A114-8F11D251C652}" presName="hierChild4" presStyleCnt="0"/>
      <dgm:spPr/>
    </dgm:pt>
    <dgm:pt modelId="{B46CFF6F-E3D9-4134-A6F5-F6FCA71AB64B}" type="pres">
      <dgm:prSet presAssocID="{FF27B921-3503-4FAE-A114-8F11D251C652}" presName="hierChild5" presStyleCnt="0"/>
      <dgm:spPr/>
    </dgm:pt>
    <dgm:pt modelId="{5F6B2783-17B6-40D0-ACCB-FF0A1A78E321}" type="pres">
      <dgm:prSet presAssocID="{A84EB8E7-AB9B-4AEE-8ADC-D2147A12D657}" presName="hierChild5" presStyleCnt="0"/>
      <dgm:spPr/>
    </dgm:pt>
    <dgm:pt modelId="{F57DA28B-B491-4497-9E06-488FC8277992}" type="pres">
      <dgm:prSet presAssocID="{3E4A8F24-1D8C-4807-BDD5-143EF1399503}" presName="Name111" presStyleLbl="parChTrans1D3" presStyleIdx="7" presStyleCnt="8"/>
      <dgm:spPr/>
      <dgm:t>
        <a:bodyPr/>
        <a:p>
          <a:endParaRPr lang="zh-CN" altLang="en-US"/>
        </a:p>
      </dgm:t>
    </dgm:pt>
    <dgm:pt modelId="{94DDCC03-EF36-4837-8C90-AE4277F6E46F}" type="pres">
      <dgm:prSet presAssocID="{DE152456-B511-49BB-BEA1-0127DF24F662}" presName="hierRoot3" presStyleCnt="0">
        <dgm:presLayoutVars>
          <dgm:hierBranch val="init"/>
        </dgm:presLayoutVars>
      </dgm:prSet>
      <dgm:spPr/>
    </dgm:pt>
    <dgm:pt modelId="{53E20966-001F-4F46-AEFF-7ED4BFF1415D}" type="pres">
      <dgm:prSet presAssocID="{DE152456-B511-49BB-BEA1-0127DF24F662}" presName="rootComposite3" presStyleCnt="0"/>
      <dgm:spPr/>
    </dgm:pt>
    <dgm:pt modelId="{37282494-66C3-4658-8A46-1068468D3FC1}" type="pres">
      <dgm:prSet presAssocID="{DE152456-B511-49BB-BEA1-0127DF24F662}" presName="rootText3" presStyleLbl="asst2" presStyleIdx="0" presStyleCnt="1" custScaleX="148216">
        <dgm:presLayoutVars>
          <dgm:chPref val="3"/>
        </dgm:presLayoutVars>
      </dgm:prSet>
      <dgm:spPr/>
      <dgm:t>
        <a:bodyPr/>
        <a:p>
          <a:endParaRPr lang="zh-CN" altLang="en-US"/>
        </a:p>
      </dgm:t>
    </dgm:pt>
    <dgm:pt modelId="{8489666E-6224-49B4-B768-7627C330EC83}" type="pres">
      <dgm:prSet presAssocID="{DE152456-B511-49BB-BEA1-0127DF24F662}" presName="rootConnector3" presStyleLbl="asst2" presStyleIdx="0" presStyleCnt="1"/>
      <dgm:spPr/>
      <dgm:t>
        <a:bodyPr/>
        <a:p>
          <a:endParaRPr lang="zh-CN" altLang="en-US"/>
        </a:p>
      </dgm:t>
    </dgm:pt>
    <dgm:pt modelId="{E2C4C5C3-26E2-4005-AD79-1E8A6DECF0C7}" type="pres">
      <dgm:prSet presAssocID="{DE152456-B511-49BB-BEA1-0127DF24F662}" presName="hierChild6" presStyleCnt="0"/>
      <dgm:spPr/>
    </dgm:pt>
    <dgm:pt modelId="{F16BCF68-694F-4090-BD55-135D0CE1B05D}" type="pres">
      <dgm:prSet presAssocID="{DE152456-B511-49BB-BEA1-0127DF24F662}" presName="hierChild7" presStyleCnt="0"/>
      <dgm:spPr/>
    </dgm:pt>
    <dgm:pt modelId="{E91D5AE4-7687-4277-BD03-9D1AE1F0ED28}" type="pres">
      <dgm:prSet presAssocID="{89FCA1F2-F45D-491A-8AF2-87456FCE2181}" presName="hierChild3" presStyleCnt="0"/>
      <dgm:spPr/>
    </dgm:pt>
    <dgm:pt modelId="{FA4D0860-FFC9-4BAB-8C45-E84A3A59C76F}" type="pres">
      <dgm:prSet presAssocID="{D0314D50-CEA9-4865-AB62-C23338C350FA}" presName="hierRoot1" presStyleCnt="0">
        <dgm:presLayoutVars>
          <dgm:hierBranch val="init"/>
        </dgm:presLayoutVars>
      </dgm:prSet>
      <dgm:spPr/>
    </dgm:pt>
    <dgm:pt modelId="{7990A668-852E-47A2-A587-B8AD16B1E5FB}" type="pres">
      <dgm:prSet presAssocID="{D0314D50-CEA9-4865-AB62-C23338C350FA}" presName="rootComposite1" presStyleCnt="0"/>
      <dgm:spPr/>
    </dgm:pt>
    <dgm:pt modelId="{E3F5E778-9781-4B40-AD44-584D0F2FB142}" type="pres">
      <dgm:prSet presAssocID="{D0314D50-CEA9-4865-AB62-C23338C350FA}" presName="rootText1" presStyleLbl="node0" presStyleIdx="1" presStyleCnt="2">
        <dgm:presLayoutVars>
          <dgm:chPref val="3"/>
        </dgm:presLayoutVars>
      </dgm:prSet>
      <dgm:spPr/>
      <dgm:t>
        <a:bodyPr/>
        <a:p>
          <a:endParaRPr lang="zh-CN" altLang="en-US"/>
        </a:p>
      </dgm:t>
    </dgm:pt>
    <dgm:pt modelId="{BC17F644-0D6B-4AAD-836C-FFB0F367331D}" type="pres">
      <dgm:prSet presAssocID="{D0314D50-CEA9-4865-AB62-C23338C350FA}" presName="rootConnector1" presStyleLbl="node1" presStyleIdx="0" presStyleCnt="0"/>
      <dgm:spPr/>
      <dgm:t>
        <a:bodyPr/>
        <a:p>
          <a:endParaRPr lang="zh-CN" altLang="en-US"/>
        </a:p>
      </dgm:t>
    </dgm:pt>
    <dgm:pt modelId="{368A3BEA-7CD4-4EA0-BE5D-37D81C1379F9}" type="pres">
      <dgm:prSet presAssocID="{D0314D50-CEA9-4865-AB62-C23338C350FA}" presName="hierChild2" presStyleCnt="0"/>
      <dgm:spPr/>
    </dgm:pt>
    <dgm:pt modelId="{C521C394-1D72-40AF-B169-9C6BDB6DE3D8}" type="pres">
      <dgm:prSet presAssocID="{D0314D50-CEA9-4865-AB62-C23338C350FA}" presName="hierChild3" presStyleCnt="0"/>
      <dgm:spPr/>
    </dgm:pt>
  </dgm:ptLst>
  <dgm:cxnLst>
    <dgm:cxn modelId="{1EA14B70-620C-46A4-81D0-5869E6960AE9}" type="presOf" srcId="{FF27B921-3503-4FAE-A114-8F11D251C652}" destId="{82F7E541-B17B-475A-9637-FD04329700AD}" srcOrd="0" destOrd="0" presId="urn:microsoft.com/office/officeart/2005/8/layout/orgChart1#2"/>
    <dgm:cxn modelId="{A463589E-AE50-4A8D-9513-E1A3553351B9}" type="presOf" srcId="{D0314D50-CEA9-4865-AB62-C23338C350FA}" destId="{E3F5E778-9781-4B40-AD44-584D0F2FB142}" srcOrd="0" destOrd="0" presId="urn:microsoft.com/office/officeart/2005/8/layout/orgChart1#2"/>
    <dgm:cxn modelId="{9650E4C2-FC9C-4C24-AFF1-29820CCBDCB8}" srcId="{A84EB8E7-AB9B-4AEE-8ADC-D2147A12D657}" destId="{FF27B921-3503-4FAE-A114-8F11D251C652}" srcOrd="6" destOrd="0" parTransId="{56B04939-4035-462F-8359-106BE797510F}" sibTransId="{508C3932-41FF-48F6-8369-3E93BD02FD7B}"/>
    <dgm:cxn modelId="{0B258298-E37E-4440-AA2E-E29168CFEE3A}" type="presOf" srcId="{74678057-2569-445F-99B1-EA8D2C31A42B}" destId="{1EF5E509-0679-4DA6-872C-70A890430F33}" srcOrd="1" destOrd="0" presId="urn:microsoft.com/office/officeart/2005/8/layout/orgChart1#2"/>
    <dgm:cxn modelId="{39037DBB-E716-498B-B791-367DFB1614BE}" type="presOf" srcId="{DE152456-B511-49BB-BEA1-0127DF24F662}" destId="{37282494-66C3-4658-8A46-1068468D3FC1}" srcOrd="0" destOrd="0" presId="urn:microsoft.com/office/officeart/2005/8/layout/orgChart1#2"/>
    <dgm:cxn modelId="{B57CFB70-D015-4251-94D1-3FA1ECC56872}" type="presOf" srcId="{F796DB1B-F1F8-409E-A81A-69594AEE78B8}" destId="{67929A2C-C938-4DF2-99ED-F930570CFAD0}" srcOrd="0" destOrd="0" presId="urn:microsoft.com/office/officeart/2005/8/layout/orgChart1#2"/>
    <dgm:cxn modelId="{F36D67E7-7D49-4A51-B29D-FAA837D4C3AA}" type="presOf" srcId="{E7F01661-B648-4D68-8E86-0777E762540D}" destId="{D519D6A9-FABA-4C14-9421-46A7DE336AEF}" srcOrd="0" destOrd="0" presId="urn:microsoft.com/office/officeart/2005/8/layout/orgChart1#2"/>
    <dgm:cxn modelId="{2434E7E1-CA77-4BE6-BA17-26DE99E7B562}" type="presOf" srcId="{A84EB8E7-AB9B-4AEE-8ADC-D2147A12D657}" destId="{E9FDED8A-1A18-4A5B-90F2-C5A143329853}" srcOrd="0" destOrd="0" presId="urn:microsoft.com/office/officeart/2005/8/layout/orgChart1#2"/>
    <dgm:cxn modelId="{9FB9BB45-4DE2-4048-8641-DF37A317AAD5}" srcId="{A84EB8E7-AB9B-4AEE-8ADC-D2147A12D657}" destId="{74678057-2569-445F-99B1-EA8D2C31A42B}" srcOrd="1" destOrd="0" parTransId="{F796DB1B-F1F8-409E-A81A-69594AEE78B8}" sibTransId="{67FAD528-11E2-4C5B-82A9-774BA76DF71A}"/>
    <dgm:cxn modelId="{5F0DED9D-666C-4BE3-841C-D4BE1BE1B92A}" type="presOf" srcId="{E2F8293B-3878-4E7B-B0B7-4D21EFCCEA7C}" destId="{D84BD5EA-6A1D-4326-AC70-8EDEBE030081}" srcOrd="0" destOrd="0" presId="urn:microsoft.com/office/officeart/2005/8/layout/orgChart1#2"/>
    <dgm:cxn modelId="{F508BADE-B4D8-4F0A-979E-C87E5B8B4B8B}" type="presOf" srcId="{2FB61637-52B4-46C1-9290-9D3C9CD1C416}" destId="{15E9D028-79C1-48E2-996E-8EDD0C929503}" srcOrd="0" destOrd="0" presId="urn:microsoft.com/office/officeart/2005/8/layout/orgChart1#2"/>
    <dgm:cxn modelId="{28BC25AB-1C4A-4971-BBD2-92059F7DA33C}" type="presOf" srcId="{89FCA1F2-F45D-491A-8AF2-87456FCE2181}" destId="{63BE2B20-9CFE-4553-8414-1AE9E0A901FE}" srcOrd="0" destOrd="0" presId="urn:microsoft.com/office/officeart/2005/8/layout/orgChart1#2"/>
    <dgm:cxn modelId="{7AB01B5C-C937-4E80-B7E2-DEFB06087097}" srcId="{A84EB8E7-AB9B-4AEE-8ADC-D2147A12D657}" destId="{F7793179-2C35-445C-96F1-DCCB032F71DA}" srcOrd="3" destOrd="0" parTransId="{89389ABC-465B-465F-86DA-9B29C00FD823}" sibTransId="{F0BCECD6-83D1-433E-B459-8103FFDEFA78}"/>
    <dgm:cxn modelId="{A52854B8-0721-4069-B9F2-3C72E2C6CA28}" type="presOf" srcId="{F7793179-2C35-445C-96F1-DCCB032F71DA}" destId="{66EA7A45-3062-417F-85FD-FCCE84862468}" srcOrd="0" destOrd="0" presId="urn:microsoft.com/office/officeart/2005/8/layout/orgChart1#2"/>
    <dgm:cxn modelId="{299A3B88-4058-430B-A910-3B90175E1485}" type="presOf" srcId="{F7793179-2C35-445C-96F1-DCCB032F71DA}" destId="{2C7AC0E5-7C38-463A-A4EF-DC616A7DB4DD}" srcOrd="1" destOrd="0" presId="urn:microsoft.com/office/officeart/2005/8/layout/orgChart1#2"/>
    <dgm:cxn modelId="{AD053B40-320A-461F-AA52-C0BB5A72AB74}" type="presOf" srcId="{3E4A8F24-1D8C-4807-BDD5-143EF1399503}" destId="{F57DA28B-B491-4497-9E06-488FC8277992}" srcOrd="0" destOrd="0" presId="urn:microsoft.com/office/officeart/2005/8/layout/orgChart1#2"/>
    <dgm:cxn modelId="{85905898-D8F7-41C5-951F-D07F291BA5C1}" type="presOf" srcId="{0909E1BC-E016-4093-94FA-00CB69C65BE2}" destId="{F3863385-FD52-42E5-82C5-F793396F4576}" srcOrd="0" destOrd="0" presId="urn:microsoft.com/office/officeart/2005/8/layout/orgChart1#2"/>
    <dgm:cxn modelId="{BAA22A06-79C3-4D06-B247-DC829B5B3B44}" srcId="{A84EB8E7-AB9B-4AEE-8ADC-D2147A12D657}" destId="{EC248403-72E7-4060-8AB2-443F50B1751B}" srcOrd="0" destOrd="0" parTransId="{E2F8293B-3878-4E7B-B0B7-4D21EFCCEA7C}" sibTransId="{D26DB9D6-DA2F-424F-9A04-58D778DCD222}"/>
    <dgm:cxn modelId="{89013389-D04F-4313-90A6-F28FD02D8BCE}" type="presOf" srcId="{A84EB8E7-AB9B-4AEE-8ADC-D2147A12D657}" destId="{32D6A0D1-30A6-4C48-9E83-1EFA06870CE7}" srcOrd="1" destOrd="0" presId="urn:microsoft.com/office/officeart/2005/8/layout/orgChart1#2"/>
    <dgm:cxn modelId="{E22E9DB0-1984-48B3-8628-AC888FC55A0D}" type="presOf" srcId="{56B04939-4035-462F-8359-106BE797510F}" destId="{A32A93F9-7D62-4F56-B46E-81516FBD081D}" srcOrd="0" destOrd="0" presId="urn:microsoft.com/office/officeart/2005/8/layout/orgChart1#2"/>
    <dgm:cxn modelId="{662CAE7E-6AC8-48EE-8794-52E7E9D45112}" srcId="{A84EB8E7-AB9B-4AEE-8ADC-D2147A12D657}" destId="{E4E85A1F-25C4-47BF-8C7B-3808DCD6A9CF}" srcOrd="5" destOrd="0" parTransId="{E7F01661-B648-4D68-8E86-0777E762540D}" sibTransId="{66FA7FB6-4C1E-4173-A8EE-02A3225EF290}"/>
    <dgm:cxn modelId="{B941CDD4-C9A1-4421-BD80-C2B0F3E4BD3A}" type="presOf" srcId="{A06BCD38-5CEC-445D-9F43-1AC3D7A77F48}" destId="{DE60AFC1-50E8-4B66-BD31-E429833DB5FF}" srcOrd="0" destOrd="0" presId="urn:microsoft.com/office/officeart/2005/8/layout/orgChart1#2"/>
    <dgm:cxn modelId="{752AA6A6-5851-4B80-9263-AEED4FB1655C}" type="presOf" srcId="{89389ABC-465B-465F-86DA-9B29C00FD823}" destId="{7E4C0556-5BD7-49CA-9560-89C015C4E17B}" srcOrd="0" destOrd="0" presId="urn:microsoft.com/office/officeart/2005/8/layout/orgChart1#2"/>
    <dgm:cxn modelId="{4C435533-CC1F-4188-9EEF-9A54B1D064F1}" srcId="{A84EB8E7-AB9B-4AEE-8ADC-D2147A12D657}" destId="{DE152456-B511-49BB-BEA1-0127DF24F662}" srcOrd="7" destOrd="0" parTransId="{3E4A8F24-1D8C-4807-BDD5-143EF1399503}" sibTransId="{C2DE0EDF-A9EE-499D-88CA-A6C6CD320872}"/>
    <dgm:cxn modelId="{6A08201A-9BB4-422C-B030-8510CE14261E}" type="presOf" srcId="{8CB809AB-CCA4-479A-9E92-FE69F0BD5C50}" destId="{62D7EBF7-A26A-4FB1-9D9A-DB01169A078B}" srcOrd="0" destOrd="0" presId="urn:microsoft.com/office/officeart/2005/8/layout/orgChart1#2"/>
    <dgm:cxn modelId="{03F27AF3-FB3A-431A-BB4E-88BEDBFAAC71}" srcId="{8CB809AB-CCA4-479A-9E92-FE69F0BD5C50}" destId="{89FCA1F2-F45D-491A-8AF2-87456FCE2181}" srcOrd="0" destOrd="0" parTransId="{2132BCD3-0A72-4DF3-BC0A-0D96740F4BD1}" sibTransId="{9511D443-0570-4AE0-9765-15BCAF054CF5}"/>
    <dgm:cxn modelId="{207E5F95-C2BB-4216-A257-998F8DC07DA6}" srcId="{89FCA1F2-F45D-491A-8AF2-87456FCE2181}" destId="{A84EB8E7-AB9B-4AEE-8ADC-D2147A12D657}" srcOrd="0" destOrd="0" parTransId="{0562D80D-F552-48E7-9A2E-54DDBF3E46C6}" sibTransId="{4535DF2B-188D-4709-A653-5A390D84E41F}"/>
    <dgm:cxn modelId="{70C6A5E1-F468-4A73-AE58-CAC6A6DE0C68}" type="presOf" srcId="{DE152456-B511-49BB-BEA1-0127DF24F662}" destId="{8489666E-6224-49B4-B768-7627C330EC83}" srcOrd="1" destOrd="0" presId="urn:microsoft.com/office/officeart/2005/8/layout/orgChart1#2"/>
    <dgm:cxn modelId="{0CFCF490-437F-498A-81EF-B08443B282AD}" srcId="{A84EB8E7-AB9B-4AEE-8ADC-D2147A12D657}" destId="{0909E1BC-E016-4093-94FA-00CB69C65BE2}" srcOrd="2" destOrd="0" parTransId="{8D7D2344-3A93-4AB7-8D44-63F3D9D8651D}" sibTransId="{1196EE34-27AF-43C1-8D35-9504DF3811B8}"/>
    <dgm:cxn modelId="{A31C1B90-8843-4BD2-890F-9156CDFCE71B}" type="presOf" srcId="{89FCA1F2-F45D-491A-8AF2-87456FCE2181}" destId="{3BDCCEC7-C42F-410A-842E-24BFF6307415}" srcOrd="1" destOrd="0" presId="urn:microsoft.com/office/officeart/2005/8/layout/orgChart1#2"/>
    <dgm:cxn modelId="{3F1AA0B3-0B8C-43E6-95BD-C51BA7BBA46F}" type="presOf" srcId="{EC248403-72E7-4060-8AB2-443F50B1751B}" destId="{71F3CBD9-43DA-402D-8323-B536014104BB}" srcOrd="1" destOrd="0" presId="urn:microsoft.com/office/officeart/2005/8/layout/orgChart1#2"/>
    <dgm:cxn modelId="{BB278A45-3E02-4D0F-97CC-7C427CC56558}" type="presOf" srcId="{E4E85A1F-25C4-47BF-8C7B-3808DCD6A9CF}" destId="{E8D280BB-7285-4E81-938F-12AC6303F7FD}" srcOrd="0" destOrd="0" presId="urn:microsoft.com/office/officeart/2005/8/layout/orgChart1#2"/>
    <dgm:cxn modelId="{A1C46DDE-751C-4C27-A6B5-64E7AC44107E}" type="presOf" srcId="{8D7D2344-3A93-4AB7-8D44-63F3D9D8651D}" destId="{8F351845-1C54-4971-A976-4C470F99359C}" srcOrd="0" destOrd="0" presId="urn:microsoft.com/office/officeart/2005/8/layout/orgChart1#2"/>
    <dgm:cxn modelId="{5BC57EEF-AFAD-480A-A024-E3D624F30A55}" type="presOf" srcId="{2FB61637-52B4-46C1-9290-9D3C9CD1C416}" destId="{C3B21518-9E89-475F-AEC0-F06CDE9D9604}" srcOrd="1" destOrd="0" presId="urn:microsoft.com/office/officeart/2005/8/layout/orgChart1#2"/>
    <dgm:cxn modelId="{18B32709-3E04-4782-8C62-407629312B07}" srcId="{8CB809AB-CCA4-479A-9E92-FE69F0BD5C50}" destId="{D0314D50-CEA9-4865-AB62-C23338C350FA}" srcOrd="1" destOrd="0" parTransId="{83D95384-DC48-4B39-806B-5F39BB3AE3FA}" sibTransId="{DA47BA2A-A090-4C0B-A328-15B20FF6BB97}"/>
    <dgm:cxn modelId="{7FB86931-2B9A-49E2-8F8B-F7DCBA6FC0E4}" type="presOf" srcId="{0909E1BC-E016-4093-94FA-00CB69C65BE2}" destId="{A641DD78-2D3D-44E5-B61D-FBABD7E0C921}" srcOrd="1" destOrd="0" presId="urn:microsoft.com/office/officeart/2005/8/layout/orgChart1#2"/>
    <dgm:cxn modelId="{E8134D38-5FA8-41FD-AD32-1370E6A5513D}" type="presOf" srcId="{EC248403-72E7-4060-8AB2-443F50B1751B}" destId="{BDC2FB19-E85E-465B-8471-7181621FC187}" srcOrd="0" destOrd="0" presId="urn:microsoft.com/office/officeart/2005/8/layout/orgChart1#2"/>
    <dgm:cxn modelId="{DAC55FBB-AA7F-4B5C-BB58-D0EF17A2B97D}" type="presOf" srcId="{FF27B921-3503-4FAE-A114-8F11D251C652}" destId="{8CDC79C3-8FC7-45E1-B72E-81A7AD9AFEB9}" srcOrd="1" destOrd="0" presId="urn:microsoft.com/office/officeart/2005/8/layout/orgChart1#2"/>
    <dgm:cxn modelId="{B27A6F8D-2C52-4179-A68D-7BCB5DE4878E}" type="presOf" srcId="{E4E85A1F-25C4-47BF-8C7B-3808DCD6A9CF}" destId="{DB7467CC-0DCE-4B67-AAC0-64D272F867BA}" srcOrd="1" destOrd="0" presId="urn:microsoft.com/office/officeart/2005/8/layout/orgChart1#2"/>
    <dgm:cxn modelId="{6F208D59-87AA-4EE5-ADC7-8D205287F161}" srcId="{A84EB8E7-AB9B-4AEE-8ADC-D2147A12D657}" destId="{2FB61637-52B4-46C1-9290-9D3C9CD1C416}" srcOrd="4" destOrd="0" parTransId="{A06BCD38-5CEC-445D-9F43-1AC3D7A77F48}" sibTransId="{833E3EDF-D470-464C-88EC-BCD018CEB417}"/>
    <dgm:cxn modelId="{21EC2A62-BD3C-4441-BBD2-DADCD79CE55F}" type="presOf" srcId="{74678057-2569-445F-99B1-EA8D2C31A42B}" destId="{4881C240-CBBC-4B82-84D0-10850C1F5C7D}" srcOrd="0" destOrd="0" presId="urn:microsoft.com/office/officeart/2005/8/layout/orgChart1#2"/>
    <dgm:cxn modelId="{D57191D6-0E5D-4879-9E34-AB774A677650}" type="presOf" srcId="{D0314D50-CEA9-4865-AB62-C23338C350FA}" destId="{BC17F644-0D6B-4AAD-836C-FFB0F367331D}" srcOrd="1" destOrd="0" presId="urn:microsoft.com/office/officeart/2005/8/layout/orgChart1#2"/>
    <dgm:cxn modelId="{F4FD014E-69AA-4A44-8BFB-38E1D3A17870}" type="presOf" srcId="{0562D80D-F552-48E7-9A2E-54DDBF3E46C6}" destId="{96BF8BB3-78AC-4AFC-AA21-EB864F59AA06}" srcOrd="0" destOrd="0" presId="urn:microsoft.com/office/officeart/2005/8/layout/orgChart1#2"/>
    <dgm:cxn modelId="{B9ED6C30-5567-43BB-88FB-F9F28DA6D734}" type="presParOf" srcId="{62D7EBF7-A26A-4FB1-9D9A-DB01169A078B}" destId="{13A10372-421B-4FA8-8705-5B6D336E837E}" srcOrd="0" destOrd="0" presId="urn:microsoft.com/office/officeart/2005/8/layout/orgChart1#2"/>
    <dgm:cxn modelId="{56356DBC-8B7C-494A-894F-8466E25E3B01}" type="presParOf" srcId="{13A10372-421B-4FA8-8705-5B6D336E837E}" destId="{3B99D992-0392-4D42-821E-8E5F2D21167F}" srcOrd="0" destOrd="0" presId="urn:microsoft.com/office/officeart/2005/8/layout/orgChart1#2"/>
    <dgm:cxn modelId="{62A42E6B-451F-4F8C-BFC4-3C80E346ADCC}" type="presParOf" srcId="{3B99D992-0392-4D42-821E-8E5F2D21167F}" destId="{63BE2B20-9CFE-4553-8414-1AE9E0A901FE}" srcOrd="0" destOrd="0" presId="urn:microsoft.com/office/officeart/2005/8/layout/orgChart1#2"/>
    <dgm:cxn modelId="{237DDCFA-EFAF-4BED-BCB0-C6C9A08832EA}" type="presParOf" srcId="{3B99D992-0392-4D42-821E-8E5F2D21167F}" destId="{3BDCCEC7-C42F-410A-842E-24BFF6307415}" srcOrd="1" destOrd="0" presId="urn:microsoft.com/office/officeart/2005/8/layout/orgChart1#2"/>
    <dgm:cxn modelId="{B7FCFF6D-3C9E-4EFB-AA02-73E144C7BABD}" type="presParOf" srcId="{13A10372-421B-4FA8-8705-5B6D336E837E}" destId="{2E644AFC-E6D8-4063-94C6-4B6E4F824D7E}" srcOrd="1" destOrd="0" presId="urn:microsoft.com/office/officeart/2005/8/layout/orgChart1#2"/>
    <dgm:cxn modelId="{E2CA0038-7A9D-4255-930F-5E3357F523EB}" type="presParOf" srcId="{2E644AFC-E6D8-4063-94C6-4B6E4F824D7E}" destId="{96BF8BB3-78AC-4AFC-AA21-EB864F59AA06}" srcOrd="0" destOrd="0" presId="urn:microsoft.com/office/officeart/2005/8/layout/orgChart1#2"/>
    <dgm:cxn modelId="{88CE4F5B-6BA8-4183-9990-36E2B17FA462}" type="presParOf" srcId="{2E644AFC-E6D8-4063-94C6-4B6E4F824D7E}" destId="{B5640321-ED7D-4184-9959-FC47F0743E9B}" srcOrd="1" destOrd="0" presId="urn:microsoft.com/office/officeart/2005/8/layout/orgChart1#2"/>
    <dgm:cxn modelId="{04840AE5-7F6B-49AF-925F-706B547DEEED}" type="presParOf" srcId="{B5640321-ED7D-4184-9959-FC47F0743E9B}" destId="{D5959708-7109-4308-B6D3-3AA0762D1607}" srcOrd="0" destOrd="0" presId="urn:microsoft.com/office/officeart/2005/8/layout/orgChart1#2"/>
    <dgm:cxn modelId="{544D379B-E83F-4617-A55B-FA2424D582A8}" type="presParOf" srcId="{D5959708-7109-4308-B6D3-3AA0762D1607}" destId="{E9FDED8A-1A18-4A5B-90F2-C5A143329853}" srcOrd="0" destOrd="0" presId="urn:microsoft.com/office/officeart/2005/8/layout/orgChart1#2"/>
    <dgm:cxn modelId="{A7BEB598-14AC-43B1-8607-D832D4A20100}" type="presParOf" srcId="{D5959708-7109-4308-B6D3-3AA0762D1607}" destId="{32D6A0D1-30A6-4C48-9E83-1EFA06870CE7}" srcOrd="1" destOrd="0" presId="urn:microsoft.com/office/officeart/2005/8/layout/orgChart1#2"/>
    <dgm:cxn modelId="{3401F2DE-10E8-455F-877F-3A47712C4849}" type="presParOf" srcId="{B5640321-ED7D-4184-9959-FC47F0743E9B}" destId="{79F635DB-7FD3-427E-AB70-D7E484D3F082}" srcOrd="1" destOrd="0" presId="urn:microsoft.com/office/officeart/2005/8/layout/orgChart1#2"/>
    <dgm:cxn modelId="{4057C70D-0129-471C-A7EF-5852A9BD5679}" type="presParOf" srcId="{79F635DB-7FD3-427E-AB70-D7E484D3F082}" destId="{D84BD5EA-6A1D-4326-AC70-8EDEBE030081}" srcOrd="0" destOrd="0" presId="urn:microsoft.com/office/officeart/2005/8/layout/orgChart1#2"/>
    <dgm:cxn modelId="{D902B48E-1105-4428-84A6-FD8BF16D61F8}" type="presParOf" srcId="{79F635DB-7FD3-427E-AB70-D7E484D3F082}" destId="{0BF1D6D7-B721-473D-80E7-CC18B3EE0060}" srcOrd="1" destOrd="0" presId="urn:microsoft.com/office/officeart/2005/8/layout/orgChart1#2"/>
    <dgm:cxn modelId="{ED8BAA4E-D0FB-45BB-98DC-E649601D044A}" type="presParOf" srcId="{0BF1D6D7-B721-473D-80E7-CC18B3EE0060}" destId="{0558C259-2018-4D12-81A3-4AD7CF27BA42}" srcOrd="0" destOrd="0" presId="urn:microsoft.com/office/officeart/2005/8/layout/orgChart1#2"/>
    <dgm:cxn modelId="{4F63D23A-46CC-49A1-B540-4ADB0D71A1FC}" type="presParOf" srcId="{0558C259-2018-4D12-81A3-4AD7CF27BA42}" destId="{BDC2FB19-E85E-465B-8471-7181621FC187}" srcOrd="0" destOrd="0" presId="urn:microsoft.com/office/officeart/2005/8/layout/orgChart1#2"/>
    <dgm:cxn modelId="{7417C9C3-209D-4C1D-B7B0-BE4EA926DAFF}" type="presParOf" srcId="{0558C259-2018-4D12-81A3-4AD7CF27BA42}" destId="{71F3CBD9-43DA-402D-8323-B536014104BB}" srcOrd="1" destOrd="0" presId="urn:microsoft.com/office/officeart/2005/8/layout/orgChart1#2"/>
    <dgm:cxn modelId="{3B08D88A-6ABA-4A1B-827A-B25FF163A05B}" type="presParOf" srcId="{0BF1D6D7-B721-473D-80E7-CC18B3EE0060}" destId="{C7BCF6A2-8142-48A1-BCB0-2ABA257F42E9}" srcOrd="1" destOrd="0" presId="urn:microsoft.com/office/officeart/2005/8/layout/orgChart1#2"/>
    <dgm:cxn modelId="{39849ED5-BFB8-4FBA-81B2-CE2F33460BDD}" type="presParOf" srcId="{0BF1D6D7-B721-473D-80E7-CC18B3EE0060}" destId="{79E62B8A-4421-4DED-ACDA-D2644D163807}" srcOrd="2" destOrd="0" presId="urn:microsoft.com/office/officeart/2005/8/layout/orgChart1#2"/>
    <dgm:cxn modelId="{40154E9A-371C-42D9-897B-5141CF8BD8DC}" type="presParOf" srcId="{79F635DB-7FD3-427E-AB70-D7E484D3F082}" destId="{67929A2C-C938-4DF2-99ED-F930570CFAD0}" srcOrd="2" destOrd="0" presId="urn:microsoft.com/office/officeart/2005/8/layout/orgChart1#2"/>
    <dgm:cxn modelId="{F2CC6619-EA1F-4D84-81A2-5196B4C7279F}" type="presParOf" srcId="{79F635DB-7FD3-427E-AB70-D7E484D3F082}" destId="{0A9D997B-A413-4A43-901F-DB5E49ABAB9F}" srcOrd="3" destOrd="0" presId="urn:microsoft.com/office/officeart/2005/8/layout/orgChart1#2"/>
    <dgm:cxn modelId="{95161D62-557E-4420-82C0-7F69247C742F}" type="presParOf" srcId="{0A9D997B-A413-4A43-901F-DB5E49ABAB9F}" destId="{17DE378D-87C5-4574-B4FE-8585835C3AE3}" srcOrd="0" destOrd="0" presId="urn:microsoft.com/office/officeart/2005/8/layout/orgChart1#2"/>
    <dgm:cxn modelId="{183AA22B-CF7F-43EA-9121-E2780B87C28B}" type="presParOf" srcId="{17DE378D-87C5-4574-B4FE-8585835C3AE3}" destId="{4881C240-CBBC-4B82-84D0-10850C1F5C7D}" srcOrd="0" destOrd="0" presId="urn:microsoft.com/office/officeart/2005/8/layout/orgChart1#2"/>
    <dgm:cxn modelId="{90CA9EC5-45AF-401D-AFB3-C1DB1C51AB40}" type="presParOf" srcId="{17DE378D-87C5-4574-B4FE-8585835C3AE3}" destId="{1EF5E509-0679-4DA6-872C-70A890430F33}" srcOrd="1" destOrd="0" presId="urn:microsoft.com/office/officeart/2005/8/layout/orgChart1#2"/>
    <dgm:cxn modelId="{8665BBE6-E0F3-433D-95D9-174B78445F88}" type="presParOf" srcId="{0A9D997B-A413-4A43-901F-DB5E49ABAB9F}" destId="{3163C560-1B84-42E8-A7D3-A7AC854EF843}" srcOrd="1" destOrd="0" presId="urn:microsoft.com/office/officeart/2005/8/layout/orgChart1#2"/>
    <dgm:cxn modelId="{F98E8A7B-8BBA-4A72-8C56-0210C5877F6E}" type="presParOf" srcId="{0A9D997B-A413-4A43-901F-DB5E49ABAB9F}" destId="{3E8FFC93-AB6E-4FAD-9165-25F3799F4937}" srcOrd="2" destOrd="0" presId="urn:microsoft.com/office/officeart/2005/8/layout/orgChart1#2"/>
    <dgm:cxn modelId="{F941C77B-110B-4B38-9BD6-764CB663CFD9}" type="presParOf" srcId="{79F635DB-7FD3-427E-AB70-D7E484D3F082}" destId="{8F351845-1C54-4971-A976-4C470F99359C}" srcOrd="4" destOrd="0" presId="urn:microsoft.com/office/officeart/2005/8/layout/orgChart1#2"/>
    <dgm:cxn modelId="{1AAE2357-BCB4-48A9-BD92-12159EA624BC}" type="presParOf" srcId="{79F635DB-7FD3-427E-AB70-D7E484D3F082}" destId="{6922CA26-FFED-4675-9A8D-274737004AE3}" srcOrd="5" destOrd="0" presId="urn:microsoft.com/office/officeart/2005/8/layout/orgChart1#2"/>
    <dgm:cxn modelId="{84FCECF7-8135-4A31-B67B-1FEE10AA3A6B}" type="presParOf" srcId="{6922CA26-FFED-4675-9A8D-274737004AE3}" destId="{9274575C-7845-4EA4-9B57-140E303A416A}" srcOrd="0" destOrd="0" presId="urn:microsoft.com/office/officeart/2005/8/layout/orgChart1#2"/>
    <dgm:cxn modelId="{E9AB6CF8-C19A-4550-80FC-2B25CAC236FC}" type="presParOf" srcId="{9274575C-7845-4EA4-9B57-140E303A416A}" destId="{F3863385-FD52-42E5-82C5-F793396F4576}" srcOrd="0" destOrd="0" presId="urn:microsoft.com/office/officeart/2005/8/layout/orgChart1#2"/>
    <dgm:cxn modelId="{F418FB5F-B525-4685-8CDF-6326A2A79B53}" type="presParOf" srcId="{9274575C-7845-4EA4-9B57-140E303A416A}" destId="{A641DD78-2D3D-44E5-B61D-FBABD7E0C921}" srcOrd="1" destOrd="0" presId="urn:microsoft.com/office/officeart/2005/8/layout/orgChart1#2"/>
    <dgm:cxn modelId="{36B36C10-E4F7-4CB5-B7D8-31F95F64C64A}" type="presParOf" srcId="{6922CA26-FFED-4675-9A8D-274737004AE3}" destId="{9DBE35B5-84F7-412F-94FE-57EC2135FD7F}" srcOrd="1" destOrd="0" presId="urn:microsoft.com/office/officeart/2005/8/layout/orgChart1#2"/>
    <dgm:cxn modelId="{B33A21DC-145E-4B7F-8F43-5C98226CBC91}" type="presParOf" srcId="{6922CA26-FFED-4675-9A8D-274737004AE3}" destId="{12902264-BE09-40E5-9A07-D41EF5E4EFE2}" srcOrd="2" destOrd="0" presId="urn:microsoft.com/office/officeart/2005/8/layout/orgChart1#2"/>
    <dgm:cxn modelId="{E17D6E82-6C99-41AA-91A8-FC844CAE3A96}" type="presParOf" srcId="{79F635DB-7FD3-427E-AB70-D7E484D3F082}" destId="{7E4C0556-5BD7-49CA-9560-89C015C4E17B}" srcOrd="6" destOrd="0" presId="urn:microsoft.com/office/officeart/2005/8/layout/orgChart1#2"/>
    <dgm:cxn modelId="{6F72C6CC-CA06-4074-B5F8-1A0C40522BA9}" type="presParOf" srcId="{79F635DB-7FD3-427E-AB70-D7E484D3F082}" destId="{6D3571EA-F427-4B50-A8B8-F3FAFD226B35}" srcOrd="7" destOrd="0" presId="urn:microsoft.com/office/officeart/2005/8/layout/orgChart1#2"/>
    <dgm:cxn modelId="{CFED4AED-86D8-4365-93D8-4F3DE1E006AB}" type="presParOf" srcId="{6D3571EA-F427-4B50-A8B8-F3FAFD226B35}" destId="{DFF8B964-6597-40D8-A55E-D55705733B6F}" srcOrd="0" destOrd="0" presId="urn:microsoft.com/office/officeart/2005/8/layout/orgChart1#2"/>
    <dgm:cxn modelId="{410182A8-EBD9-4742-A1E4-B5685DCC62A4}" type="presParOf" srcId="{DFF8B964-6597-40D8-A55E-D55705733B6F}" destId="{66EA7A45-3062-417F-85FD-FCCE84862468}" srcOrd="0" destOrd="0" presId="urn:microsoft.com/office/officeart/2005/8/layout/orgChart1#2"/>
    <dgm:cxn modelId="{44056916-1F15-4CCE-B589-DB13BD51EE5A}" type="presParOf" srcId="{DFF8B964-6597-40D8-A55E-D55705733B6F}" destId="{2C7AC0E5-7C38-463A-A4EF-DC616A7DB4DD}" srcOrd="1" destOrd="0" presId="urn:microsoft.com/office/officeart/2005/8/layout/orgChart1#2"/>
    <dgm:cxn modelId="{1358D0EF-B0EE-4DB6-8622-A27A7241A581}" type="presParOf" srcId="{6D3571EA-F427-4B50-A8B8-F3FAFD226B35}" destId="{0F931991-9E55-4872-9033-C9292801D0ED}" srcOrd="1" destOrd="0" presId="urn:microsoft.com/office/officeart/2005/8/layout/orgChart1#2"/>
    <dgm:cxn modelId="{36EF058A-E3B0-45E2-B39F-2469AFCCD2E6}" type="presParOf" srcId="{6D3571EA-F427-4B50-A8B8-F3FAFD226B35}" destId="{368F519D-6262-4DE1-BF5B-FD54B9C14949}" srcOrd="2" destOrd="0" presId="urn:microsoft.com/office/officeart/2005/8/layout/orgChart1#2"/>
    <dgm:cxn modelId="{AB048575-9555-4D70-A9F3-1B24F51E7222}" type="presParOf" srcId="{79F635DB-7FD3-427E-AB70-D7E484D3F082}" destId="{DE60AFC1-50E8-4B66-BD31-E429833DB5FF}" srcOrd="8" destOrd="0" presId="urn:microsoft.com/office/officeart/2005/8/layout/orgChart1#2"/>
    <dgm:cxn modelId="{0E0F6551-D0E3-4584-8752-3CD5838FC3F2}" type="presParOf" srcId="{79F635DB-7FD3-427E-AB70-D7E484D3F082}" destId="{DBAF1C10-D7D7-4F6A-BA62-83C39CB635D5}" srcOrd="9" destOrd="0" presId="urn:microsoft.com/office/officeart/2005/8/layout/orgChart1#2"/>
    <dgm:cxn modelId="{8844238F-0066-45B9-8A4F-0F195B2D956D}" type="presParOf" srcId="{DBAF1C10-D7D7-4F6A-BA62-83C39CB635D5}" destId="{C7C11817-C1E6-4097-BCBA-19D58116D03F}" srcOrd="0" destOrd="0" presId="urn:microsoft.com/office/officeart/2005/8/layout/orgChart1#2"/>
    <dgm:cxn modelId="{2A46CEDE-6C3A-4097-9C2D-D03BD58DFC58}" type="presParOf" srcId="{C7C11817-C1E6-4097-BCBA-19D58116D03F}" destId="{15E9D028-79C1-48E2-996E-8EDD0C929503}" srcOrd="0" destOrd="0" presId="urn:microsoft.com/office/officeart/2005/8/layout/orgChart1#2"/>
    <dgm:cxn modelId="{84EF09FE-645B-49B4-BD64-8ADC76F84A72}" type="presParOf" srcId="{C7C11817-C1E6-4097-BCBA-19D58116D03F}" destId="{C3B21518-9E89-475F-AEC0-F06CDE9D9604}" srcOrd="1" destOrd="0" presId="urn:microsoft.com/office/officeart/2005/8/layout/orgChart1#2"/>
    <dgm:cxn modelId="{F681D4DF-456D-458F-980B-65223DAABCA2}" type="presParOf" srcId="{DBAF1C10-D7D7-4F6A-BA62-83C39CB635D5}" destId="{F2E05974-21C3-44B7-BC47-7F3E4BF66205}" srcOrd="1" destOrd="0" presId="urn:microsoft.com/office/officeart/2005/8/layout/orgChart1#2"/>
    <dgm:cxn modelId="{BE79F998-156F-4742-83C8-7AE75DBBE6DE}" type="presParOf" srcId="{DBAF1C10-D7D7-4F6A-BA62-83C39CB635D5}" destId="{5BEE51C8-4A85-4415-99AB-1149EED24447}" srcOrd="2" destOrd="0" presId="urn:microsoft.com/office/officeart/2005/8/layout/orgChart1#2"/>
    <dgm:cxn modelId="{EE6F0B6D-D39F-41B7-A0E2-30F6872C1D42}" type="presParOf" srcId="{79F635DB-7FD3-427E-AB70-D7E484D3F082}" destId="{D519D6A9-FABA-4C14-9421-46A7DE336AEF}" srcOrd="10" destOrd="0" presId="urn:microsoft.com/office/officeart/2005/8/layout/orgChart1#2"/>
    <dgm:cxn modelId="{B36254B7-A025-4FF0-B576-B59D049392B9}" type="presParOf" srcId="{79F635DB-7FD3-427E-AB70-D7E484D3F082}" destId="{FABD0129-E666-4706-BF29-777A9B2D1AC6}" srcOrd="11" destOrd="0" presId="urn:microsoft.com/office/officeart/2005/8/layout/orgChart1#2"/>
    <dgm:cxn modelId="{4AB52617-DCC2-47A3-98BC-3B7A98D0CFC4}" type="presParOf" srcId="{FABD0129-E666-4706-BF29-777A9B2D1AC6}" destId="{AC18017F-76A2-4ADC-B2A0-7215C579EADB}" srcOrd="0" destOrd="0" presId="urn:microsoft.com/office/officeart/2005/8/layout/orgChart1#2"/>
    <dgm:cxn modelId="{63C69678-8056-42F6-AA23-DC41CA626B34}" type="presParOf" srcId="{AC18017F-76A2-4ADC-B2A0-7215C579EADB}" destId="{E8D280BB-7285-4E81-938F-12AC6303F7FD}" srcOrd="0" destOrd="0" presId="urn:microsoft.com/office/officeart/2005/8/layout/orgChart1#2"/>
    <dgm:cxn modelId="{B7D26313-4088-43FA-B93D-65E403930A9A}" type="presParOf" srcId="{AC18017F-76A2-4ADC-B2A0-7215C579EADB}" destId="{DB7467CC-0DCE-4B67-AAC0-64D272F867BA}" srcOrd="1" destOrd="0" presId="urn:microsoft.com/office/officeart/2005/8/layout/orgChart1#2"/>
    <dgm:cxn modelId="{161C0392-03D1-46EE-9A08-CA5683BC007D}" type="presParOf" srcId="{FABD0129-E666-4706-BF29-777A9B2D1AC6}" destId="{27F501B5-1CCB-4229-A5A5-36275A51EF28}" srcOrd="1" destOrd="0" presId="urn:microsoft.com/office/officeart/2005/8/layout/orgChart1#2"/>
    <dgm:cxn modelId="{D9E8DEFA-C284-4362-B2CF-00CB715B399E}" type="presParOf" srcId="{FABD0129-E666-4706-BF29-777A9B2D1AC6}" destId="{B659EEF4-DA19-4AEE-AD1B-F7E487545A58}" srcOrd="2" destOrd="0" presId="urn:microsoft.com/office/officeart/2005/8/layout/orgChart1#2"/>
    <dgm:cxn modelId="{3A81221F-A575-4278-B6A0-DB8E991365CD}" type="presParOf" srcId="{79F635DB-7FD3-427E-AB70-D7E484D3F082}" destId="{A32A93F9-7D62-4F56-B46E-81516FBD081D}" srcOrd="12" destOrd="0" presId="urn:microsoft.com/office/officeart/2005/8/layout/orgChart1#2"/>
    <dgm:cxn modelId="{1E904BA5-47F8-41EE-AA1D-6AF565A9D4B2}" type="presParOf" srcId="{79F635DB-7FD3-427E-AB70-D7E484D3F082}" destId="{D4758560-314D-4576-8E43-461DA3E559E1}" srcOrd="13" destOrd="0" presId="urn:microsoft.com/office/officeart/2005/8/layout/orgChart1#2"/>
    <dgm:cxn modelId="{B521FB7E-DBF6-45D5-9B88-EAFE06DA9C4C}" type="presParOf" srcId="{D4758560-314D-4576-8E43-461DA3E559E1}" destId="{649EA1CD-A304-47AB-8746-32F0F7850D77}" srcOrd="0" destOrd="0" presId="urn:microsoft.com/office/officeart/2005/8/layout/orgChart1#2"/>
    <dgm:cxn modelId="{85F49B1C-71DF-4F7B-9F5C-EA2F991BAD9B}" type="presParOf" srcId="{649EA1CD-A304-47AB-8746-32F0F7850D77}" destId="{82F7E541-B17B-475A-9637-FD04329700AD}" srcOrd="0" destOrd="0" presId="urn:microsoft.com/office/officeart/2005/8/layout/orgChart1#2"/>
    <dgm:cxn modelId="{D115A4A6-9864-4EB8-8945-53EC6482B40E}" type="presParOf" srcId="{649EA1CD-A304-47AB-8746-32F0F7850D77}" destId="{8CDC79C3-8FC7-45E1-B72E-81A7AD9AFEB9}" srcOrd="1" destOrd="0" presId="urn:microsoft.com/office/officeart/2005/8/layout/orgChart1#2"/>
    <dgm:cxn modelId="{41C45BEE-94B4-4AA0-88EC-C2A8E35FCC09}" type="presParOf" srcId="{D4758560-314D-4576-8E43-461DA3E559E1}" destId="{E49670EA-9840-421A-8D44-56E5680727CB}" srcOrd="1" destOrd="0" presId="urn:microsoft.com/office/officeart/2005/8/layout/orgChart1#2"/>
    <dgm:cxn modelId="{8DDEA883-5CEA-4300-B3C1-419645B9B4D8}" type="presParOf" srcId="{D4758560-314D-4576-8E43-461DA3E559E1}" destId="{B46CFF6F-E3D9-4134-A6F5-F6FCA71AB64B}" srcOrd="2" destOrd="0" presId="urn:microsoft.com/office/officeart/2005/8/layout/orgChart1#2"/>
    <dgm:cxn modelId="{2054A697-2226-4BAE-A1B7-4D5EE94CFA89}" type="presParOf" srcId="{B5640321-ED7D-4184-9959-FC47F0743E9B}" destId="{5F6B2783-17B6-40D0-ACCB-FF0A1A78E321}" srcOrd="2" destOrd="0" presId="urn:microsoft.com/office/officeart/2005/8/layout/orgChart1#2"/>
    <dgm:cxn modelId="{E1E17432-34FA-4FC6-941F-B3F7148186C0}" type="presParOf" srcId="{5F6B2783-17B6-40D0-ACCB-FF0A1A78E321}" destId="{F57DA28B-B491-4497-9E06-488FC8277992}" srcOrd="0" destOrd="0" presId="urn:microsoft.com/office/officeart/2005/8/layout/orgChart1#2"/>
    <dgm:cxn modelId="{88D19A5D-A458-4856-8D4F-F6532DD6E66E}" type="presParOf" srcId="{5F6B2783-17B6-40D0-ACCB-FF0A1A78E321}" destId="{94DDCC03-EF36-4837-8C90-AE4277F6E46F}" srcOrd="1" destOrd="0" presId="urn:microsoft.com/office/officeart/2005/8/layout/orgChart1#2"/>
    <dgm:cxn modelId="{667896DE-F05F-4248-8CE4-D7AFB2993DC4}" type="presParOf" srcId="{94DDCC03-EF36-4837-8C90-AE4277F6E46F}" destId="{53E20966-001F-4F46-AEFF-7ED4BFF1415D}" srcOrd="0" destOrd="0" presId="urn:microsoft.com/office/officeart/2005/8/layout/orgChart1#2"/>
    <dgm:cxn modelId="{AA638BF6-2C29-46B8-849D-CCC784D240E9}" type="presParOf" srcId="{53E20966-001F-4F46-AEFF-7ED4BFF1415D}" destId="{37282494-66C3-4658-8A46-1068468D3FC1}" srcOrd="0" destOrd="0" presId="urn:microsoft.com/office/officeart/2005/8/layout/orgChart1#2"/>
    <dgm:cxn modelId="{1C22DF1D-D337-40B9-B4F9-76646D33FA71}" type="presParOf" srcId="{53E20966-001F-4F46-AEFF-7ED4BFF1415D}" destId="{8489666E-6224-49B4-B768-7627C330EC83}" srcOrd="1" destOrd="0" presId="urn:microsoft.com/office/officeart/2005/8/layout/orgChart1#2"/>
    <dgm:cxn modelId="{38731EB8-60F5-43DB-B500-7E6761A8359D}" type="presParOf" srcId="{94DDCC03-EF36-4837-8C90-AE4277F6E46F}" destId="{E2C4C5C3-26E2-4005-AD79-1E8A6DECF0C7}" srcOrd="1" destOrd="0" presId="urn:microsoft.com/office/officeart/2005/8/layout/orgChart1#2"/>
    <dgm:cxn modelId="{AB24B267-0F9B-4B0B-874D-6F0B214A1977}" type="presParOf" srcId="{94DDCC03-EF36-4837-8C90-AE4277F6E46F}" destId="{F16BCF68-694F-4090-BD55-135D0CE1B05D}" srcOrd="2" destOrd="0" presId="urn:microsoft.com/office/officeart/2005/8/layout/orgChart1#2"/>
    <dgm:cxn modelId="{0E9234C6-030A-4D74-9E86-8123D434D69B}" type="presParOf" srcId="{13A10372-421B-4FA8-8705-5B6D336E837E}" destId="{E91D5AE4-7687-4277-BD03-9D1AE1F0ED28}" srcOrd="2" destOrd="0" presId="urn:microsoft.com/office/officeart/2005/8/layout/orgChart1#2"/>
    <dgm:cxn modelId="{0573882D-52FD-4D59-90A4-D20C4B7CC5A5}" type="presParOf" srcId="{62D7EBF7-A26A-4FB1-9D9A-DB01169A078B}" destId="{FA4D0860-FFC9-4BAB-8C45-E84A3A59C76F}" srcOrd="1" destOrd="0" presId="urn:microsoft.com/office/officeart/2005/8/layout/orgChart1#2"/>
    <dgm:cxn modelId="{D827D1A5-D0F0-45A1-892E-D54EE940004F}" type="presParOf" srcId="{FA4D0860-FFC9-4BAB-8C45-E84A3A59C76F}" destId="{7990A668-852E-47A2-A587-B8AD16B1E5FB}" srcOrd="0" destOrd="0" presId="urn:microsoft.com/office/officeart/2005/8/layout/orgChart1#2"/>
    <dgm:cxn modelId="{5479622E-8C57-4479-A4E0-4925ACF22D95}" type="presParOf" srcId="{7990A668-852E-47A2-A587-B8AD16B1E5FB}" destId="{E3F5E778-9781-4B40-AD44-584D0F2FB142}" srcOrd="0" destOrd="0" presId="urn:microsoft.com/office/officeart/2005/8/layout/orgChart1#2"/>
    <dgm:cxn modelId="{8D0143E5-CAA9-4A2C-9339-5057BE647B9A}" type="presParOf" srcId="{7990A668-852E-47A2-A587-B8AD16B1E5FB}" destId="{BC17F644-0D6B-4AAD-836C-FFB0F367331D}" srcOrd="1" destOrd="0" presId="urn:microsoft.com/office/officeart/2005/8/layout/orgChart1#2"/>
    <dgm:cxn modelId="{987E94B7-5BD6-4FDC-BD89-7E3416F033B5}" type="presParOf" srcId="{FA4D0860-FFC9-4BAB-8C45-E84A3A59C76F}" destId="{368A3BEA-7CD4-4EA0-BE5D-37D81C1379F9}" srcOrd="1" destOrd="0" presId="urn:microsoft.com/office/officeart/2005/8/layout/orgChart1#2"/>
    <dgm:cxn modelId="{60B4D83D-2CEE-45D6-93BE-A4539D966C8A}" type="presParOf" srcId="{FA4D0860-FFC9-4BAB-8C45-E84A3A59C76F}" destId="{C521C394-1D72-40AF-B169-9C6BDB6DE3D8}" srcOrd="2" destOrd="0" presId="urn:microsoft.com/office/officeart/2005/8/layout/orgChart1#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172710" cy="2120900"/>
        <a:chOff x="0" y="0"/>
        <a:chExt cx="5172710" cy="2120900"/>
      </a:xfrm>
    </dsp:grpSpPr>
    <dsp:sp modelId="{96BF8BB3-78AC-4AFC-AA21-EB864F59AA06}">
      <dsp:nvSpPr>
        <dsp:cNvPr id="5" name="任意多边形 4"/>
        <dsp:cNvSpPr/>
      </dsp:nvSpPr>
      <dsp:spPr bwMode="white">
        <a:xfrm>
          <a:off x="2586355" y="550068"/>
          <a:ext cx="0" cy="131510"/>
        </a:xfrm>
        <a:custGeom>
          <a:avLst/>
          <a:gdLst/>
          <a:ahLst/>
          <a:cxnLst/>
          <a:pathLst>
            <a:path h="207">
              <a:moveTo>
                <a:pt x="0" y="0"/>
              </a:moveTo>
              <a:lnTo>
                <a:pt x="0" y="207"/>
              </a:lnTo>
            </a:path>
          </a:pathLst>
        </a:custGeom>
      </dsp:spPr>
      <dsp:style>
        <a:lnRef idx="2">
          <a:schemeClr val="accent1">
            <a:shade val="60000"/>
          </a:schemeClr>
        </a:lnRef>
        <a:fillRef idx="0">
          <a:schemeClr val="accent1"/>
        </a:fillRef>
        <a:effectRef idx="0">
          <a:scrgbClr r="0" g="0" b="0"/>
        </a:effectRef>
        <a:fontRef idx="minor"/>
      </dsp:style>
      <dsp:txXfrm>
        <a:off x="2586355" y="550068"/>
        <a:ext cx="0" cy="131510"/>
      </dsp:txXfrm>
    </dsp:sp>
    <dsp:sp modelId="{D84BD5EA-6A1D-4326-AC70-8EDEBE030081}">
      <dsp:nvSpPr>
        <dsp:cNvPr id="8" name="任意多边形 7"/>
        <dsp:cNvSpPr/>
      </dsp:nvSpPr>
      <dsp:spPr bwMode="white">
        <a:xfrm>
          <a:off x="313118" y="994695"/>
          <a:ext cx="2273237" cy="576137"/>
        </a:xfrm>
        <a:custGeom>
          <a:avLst/>
          <a:gdLst/>
          <a:ahLst/>
          <a:cxnLst/>
          <a:pathLst>
            <a:path w="3580" h="907">
              <a:moveTo>
                <a:pt x="3580" y="0"/>
              </a:moveTo>
              <a:lnTo>
                <a:pt x="3580" y="804"/>
              </a:lnTo>
              <a:lnTo>
                <a:pt x="0" y="804"/>
              </a:lnTo>
              <a:lnTo>
                <a:pt x="0" y="907"/>
              </a:lnTo>
            </a:path>
          </a:pathLst>
        </a:custGeom>
      </dsp:spPr>
      <dsp:style>
        <a:lnRef idx="2">
          <a:schemeClr val="accent1">
            <a:shade val="80000"/>
          </a:schemeClr>
        </a:lnRef>
        <a:fillRef idx="0">
          <a:schemeClr val="accent1"/>
        </a:fillRef>
        <a:effectRef idx="0">
          <a:scrgbClr r="0" g="0" b="0"/>
        </a:effectRef>
        <a:fontRef idx="minor"/>
      </dsp:style>
      <dsp:txXfrm>
        <a:off x="313118" y="994695"/>
        <a:ext cx="2273237" cy="576137"/>
      </dsp:txXfrm>
    </dsp:sp>
    <dsp:sp modelId="{67929A2C-C938-4DF2-99ED-F930570CFAD0}">
      <dsp:nvSpPr>
        <dsp:cNvPr id="11" name="任意多边形 10"/>
        <dsp:cNvSpPr/>
      </dsp:nvSpPr>
      <dsp:spPr bwMode="white">
        <a:xfrm>
          <a:off x="1070864" y="994695"/>
          <a:ext cx="1515491" cy="576137"/>
        </a:xfrm>
        <a:custGeom>
          <a:avLst/>
          <a:gdLst/>
          <a:ahLst/>
          <a:cxnLst/>
          <a:pathLst>
            <a:path w="2387" h="907">
              <a:moveTo>
                <a:pt x="2387" y="0"/>
              </a:moveTo>
              <a:lnTo>
                <a:pt x="2387" y="804"/>
              </a:lnTo>
              <a:lnTo>
                <a:pt x="0" y="804"/>
              </a:lnTo>
              <a:lnTo>
                <a:pt x="0" y="907"/>
              </a:lnTo>
            </a:path>
          </a:pathLst>
        </a:custGeom>
      </dsp:spPr>
      <dsp:style>
        <a:lnRef idx="2">
          <a:schemeClr val="accent1">
            <a:shade val="80000"/>
          </a:schemeClr>
        </a:lnRef>
        <a:fillRef idx="0">
          <a:schemeClr val="accent1"/>
        </a:fillRef>
        <a:effectRef idx="0">
          <a:scrgbClr r="0" g="0" b="0"/>
        </a:effectRef>
        <a:fontRef idx="minor"/>
      </dsp:style>
      <dsp:txXfrm>
        <a:off x="1070864" y="994695"/>
        <a:ext cx="1515491" cy="576137"/>
      </dsp:txXfrm>
    </dsp:sp>
    <dsp:sp modelId="{8F351845-1C54-4971-A976-4C470F99359C}">
      <dsp:nvSpPr>
        <dsp:cNvPr id="14" name="任意多边形 13"/>
        <dsp:cNvSpPr/>
      </dsp:nvSpPr>
      <dsp:spPr bwMode="white">
        <a:xfrm>
          <a:off x="1828609" y="994695"/>
          <a:ext cx="757746" cy="576137"/>
        </a:xfrm>
        <a:custGeom>
          <a:avLst/>
          <a:gdLst/>
          <a:ahLst/>
          <a:cxnLst/>
          <a:pathLst>
            <a:path w="1193" h="907">
              <a:moveTo>
                <a:pt x="1193" y="0"/>
              </a:moveTo>
              <a:lnTo>
                <a:pt x="1193" y="804"/>
              </a:lnTo>
              <a:lnTo>
                <a:pt x="0" y="804"/>
              </a:lnTo>
              <a:lnTo>
                <a:pt x="0" y="907"/>
              </a:lnTo>
            </a:path>
          </a:pathLst>
        </a:custGeom>
      </dsp:spPr>
      <dsp:style>
        <a:lnRef idx="2">
          <a:schemeClr val="accent1">
            <a:shade val="80000"/>
          </a:schemeClr>
        </a:lnRef>
        <a:fillRef idx="0">
          <a:schemeClr val="accent1"/>
        </a:fillRef>
        <a:effectRef idx="0">
          <a:scrgbClr r="0" g="0" b="0"/>
        </a:effectRef>
        <a:fontRef idx="minor"/>
      </dsp:style>
      <dsp:txXfrm>
        <a:off x="1828609" y="994695"/>
        <a:ext cx="757746" cy="576137"/>
      </dsp:txXfrm>
    </dsp:sp>
    <dsp:sp modelId="{7E4C0556-5BD7-49CA-9560-89C015C4E17B}">
      <dsp:nvSpPr>
        <dsp:cNvPr id="17" name="任意多边形 16"/>
        <dsp:cNvSpPr/>
      </dsp:nvSpPr>
      <dsp:spPr bwMode="white">
        <a:xfrm>
          <a:off x="2586355" y="994695"/>
          <a:ext cx="0" cy="576137"/>
        </a:xfrm>
        <a:custGeom>
          <a:avLst/>
          <a:gdLst/>
          <a:ahLst/>
          <a:cxnLst/>
          <a:pathLst>
            <a:path h="907">
              <a:moveTo>
                <a:pt x="0" y="0"/>
              </a:moveTo>
              <a:lnTo>
                <a:pt x="0" y="907"/>
              </a:lnTo>
            </a:path>
          </a:pathLst>
        </a:custGeom>
      </dsp:spPr>
      <dsp:style>
        <a:lnRef idx="2">
          <a:schemeClr val="accent1">
            <a:shade val="80000"/>
          </a:schemeClr>
        </a:lnRef>
        <a:fillRef idx="0">
          <a:schemeClr val="accent1"/>
        </a:fillRef>
        <a:effectRef idx="0">
          <a:scrgbClr r="0" g="0" b="0"/>
        </a:effectRef>
        <a:fontRef idx="minor"/>
      </dsp:style>
      <dsp:txXfrm>
        <a:off x="2586355" y="994695"/>
        <a:ext cx="0" cy="576137"/>
      </dsp:txXfrm>
    </dsp:sp>
    <dsp:sp modelId="{DE60AFC1-50E8-4B66-BD31-E429833DB5FF}">
      <dsp:nvSpPr>
        <dsp:cNvPr id="20" name="任意多边形 19"/>
        <dsp:cNvSpPr/>
      </dsp:nvSpPr>
      <dsp:spPr bwMode="white">
        <a:xfrm>
          <a:off x="2586355" y="994695"/>
          <a:ext cx="757746" cy="576137"/>
        </a:xfrm>
        <a:custGeom>
          <a:avLst/>
          <a:gdLst/>
          <a:ahLst/>
          <a:cxnLst/>
          <a:pathLst>
            <a:path w="1193" h="907">
              <a:moveTo>
                <a:pt x="0" y="0"/>
              </a:moveTo>
              <a:lnTo>
                <a:pt x="0" y="804"/>
              </a:lnTo>
              <a:lnTo>
                <a:pt x="1193" y="804"/>
              </a:lnTo>
              <a:lnTo>
                <a:pt x="1193" y="907"/>
              </a:lnTo>
            </a:path>
          </a:pathLst>
        </a:custGeom>
      </dsp:spPr>
      <dsp:style>
        <a:lnRef idx="2">
          <a:schemeClr val="accent1">
            <a:shade val="80000"/>
          </a:schemeClr>
        </a:lnRef>
        <a:fillRef idx="0">
          <a:schemeClr val="accent1"/>
        </a:fillRef>
        <a:effectRef idx="0">
          <a:scrgbClr r="0" g="0" b="0"/>
        </a:effectRef>
        <a:fontRef idx="minor"/>
      </dsp:style>
      <dsp:txXfrm>
        <a:off x="2586355" y="994695"/>
        <a:ext cx="757746" cy="576137"/>
      </dsp:txXfrm>
    </dsp:sp>
    <dsp:sp modelId="{D519D6A9-FABA-4C14-9421-46A7DE336AEF}">
      <dsp:nvSpPr>
        <dsp:cNvPr id="23" name="任意多边形 22"/>
        <dsp:cNvSpPr/>
      </dsp:nvSpPr>
      <dsp:spPr bwMode="white">
        <a:xfrm>
          <a:off x="2586355" y="994695"/>
          <a:ext cx="1515491" cy="576137"/>
        </a:xfrm>
        <a:custGeom>
          <a:avLst/>
          <a:gdLst/>
          <a:ahLst/>
          <a:cxnLst/>
          <a:pathLst>
            <a:path w="2387" h="907">
              <a:moveTo>
                <a:pt x="0" y="0"/>
              </a:moveTo>
              <a:lnTo>
                <a:pt x="0" y="804"/>
              </a:lnTo>
              <a:lnTo>
                <a:pt x="2387" y="804"/>
              </a:lnTo>
              <a:lnTo>
                <a:pt x="2387" y="907"/>
              </a:lnTo>
            </a:path>
          </a:pathLst>
        </a:custGeom>
      </dsp:spPr>
      <dsp:style>
        <a:lnRef idx="2">
          <a:schemeClr val="accent1">
            <a:shade val="80000"/>
          </a:schemeClr>
        </a:lnRef>
        <a:fillRef idx="0">
          <a:schemeClr val="accent1"/>
        </a:fillRef>
        <a:effectRef idx="0">
          <a:scrgbClr r="0" g="0" b="0"/>
        </a:effectRef>
        <a:fontRef idx="minor"/>
      </dsp:style>
      <dsp:txXfrm>
        <a:off x="2586355" y="994695"/>
        <a:ext cx="1515491" cy="576137"/>
      </dsp:txXfrm>
    </dsp:sp>
    <dsp:sp modelId="{A32A93F9-7D62-4F56-B46E-81516FBD081D}">
      <dsp:nvSpPr>
        <dsp:cNvPr id="26" name="任意多边形 25"/>
        <dsp:cNvSpPr/>
      </dsp:nvSpPr>
      <dsp:spPr bwMode="white">
        <a:xfrm>
          <a:off x="2586355" y="994695"/>
          <a:ext cx="2273237" cy="576137"/>
        </a:xfrm>
        <a:custGeom>
          <a:avLst/>
          <a:gdLst/>
          <a:ahLst/>
          <a:cxnLst/>
          <a:pathLst>
            <a:path w="3580" h="907">
              <a:moveTo>
                <a:pt x="0" y="0"/>
              </a:moveTo>
              <a:lnTo>
                <a:pt x="0" y="804"/>
              </a:lnTo>
              <a:lnTo>
                <a:pt x="3580" y="804"/>
              </a:lnTo>
              <a:lnTo>
                <a:pt x="3580" y="907"/>
              </a:lnTo>
            </a:path>
          </a:pathLst>
        </a:custGeom>
      </dsp:spPr>
      <dsp:style>
        <a:lnRef idx="2">
          <a:schemeClr val="accent1">
            <a:shade val="80000"/>
          </a:schemeClr>
        </a:lnRef>
        <a:fillRef idx="0">
          <a:schemeClr val="accent1"/>
        </a:fillRef>
        <a:effectRef idx="0">
          <a:scrgbClr r="0" g="0" b="0"/>
        </a:effectRef>
        <a:fontRef idx="minor"/>
      </dsp:style>
      <dsp:txXfrm>
        <a:off x="2586355" y="994695"/>
        <a:ext cx="2273237" cy="576137"/>
      </dsp:txXfrm>
    </dsp:sp>
    <dsp:sp modelId="{F57DA28B-B491-4497-9E06-488FC8277992}">
      <dsp:nvSpPr>
        <dsp:cNvPr id="29" name="任意多边形 28"/>
        <dsp:cNvSpPr/>
      </dsp:nvSpPr>
      <dsp:spPr bwMode="white">
        <a:xfrm>
          <a:off x="2520600" y="994695"/>
          <a:ext cx="65755" cy="288069"/>
        </a:xfrm>
        <a:custGeom>
          <a:avLst/>
          <a:gdLst/>
          <a:ahLst/>
          <a:cxnLst/>
          <a:pathLst>
            <a:path w="104" h="454">
              <a:moveTo>
                <a:pt x="104" y="0"/>
              </a:moveTo>
              <a:lnTo>
                <a:pt x="104" y="454"/>
              </a:lnTo>
              <a:lnTo>
                <a:pt x="0" y="454"/>
              </a:lnTo>
            </a:path>
          </a:pathLst>
        </a:custGeom>
      </dsp:spPr>
      <dsp:style>
        <a:lnRef idx="2">
          <a:schemeClr val="accent1">
            <a:shade val="80000"/>
          </a:schemeClr>
        </a:lnRef>
        <a:fillRef idx="0">
          <a:schemeClr val="accent1"/>
        </a:fillRef>
        <a:effectRef idx="0">
          <a:scrgbClr r="0" g="0" b="0"/>
        </a:effectRef>
        <a:fontRef idx="minor"/>
      </dsp:style>
      <dsp:txXfrm>
        <a:off x="2520600" y="994695"/>
        <a:ext cx="65755" cy="288069"/>
      </dsp:txXfrm>
    </dsp:sp>
    <dsp:sp modelId="{63BE2B20-9CFE-4553-8414-1AE9E0A901FE}">
      <dsp:nvSpPr>
        <dsp:cNvPr id="3" name="矩形 2"/>
        <dsp:cNvSpPr/>
      </dsp:nvSpPr>
      <dsp:spPr bwMode="white">
        <a:xfrm>
          <a:off x="2273237" y="236950"/>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董事</a:t>
          </a:r>
        </a:p>
      </dsp:txBody>
      <dsp:txXfrm>
        <a:off x="2273237" y="236950"/>
        <a:ext cx="626236" cy="313118"/>
      </dsp:txXfrm>
    </dsp:sp>
    <dsp:sp modelId="{E9FDED8A-1A18-4A5B-90F2-C5A143329853}">
      <dsp:nvSpPr>
        <dsp:cNvPr id="6" name="矩形 5"/>
        <dsp:cNvSpPr/>
      </dsp:nvSpPr>
      <dsp:spPr bwMode="white">
        <a:xfrm>
          <a:off x="2273237" y="681577"/>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总经理</a:t>
          </a:r>
        </a:p>
      </dsp:txBody>
      <dsp:txXfrm>
        <a:off x="2273237" y="681577"/>
        <a:ext cx="626236" cy="313118"/>
      </dsp:txXfrm>
    </dsp:sp>
    <dsp:sp modelId="{BDC2FB19-E85E-465B-8471-7181621FC187}">
      <dsp:nvSpPr>
        <dsp:cNvPr id="9" name="矩形 8"/>
        <dsp:cNvSpPr/>
      </dsp:nvSpPr>
      <dsp:spPr bwMode="white">
        <a:xfrm>
          <a:off x="0" y="1570832"/>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业务部</a:t>
          </a:r>
        </a:p>
      </dsp:txBody>
      <dsp:txXfrm>
        <a:off x="0" y="1570832"/>
        <a:ext cx="626236" cy="313118"/>
      </dsp:txXfrm>
    </dsp:sp>
    <dsp:sp modelId="{4881C240-CBBC-4B82-84D0-10850C1F5C7D}">
      <dsp:nvSpPr>
        <dsp:cNvPr id="12" name="矩形 11"/>
        <dsp:cNvSpPr/>
      </dsp:nvSpPr>
      <dsp:spPr bwMode="white">
        <a:xfrm>
          <a:off x="757746" y="1570832"/>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行政部</a:t>
          </a:r>
        </a:p>
      </dsp:txBody>
      <dsp:txXfrm>
        <a:off x="757746" y="1570832"/>
        <a:ext cx="626236" cy="313118"/>
      </dsp:txXfrm>
    </dsp:sp>
    <dsp:sp modelId="{F3863385-FD52-42E5-82C5-F793396F4576}">
      <dsp:nvSpPr>
        <dsp:cNvPr id="15" name="矩形 14"/>
        <dsp:cNvSpPr/>
      </dsp:nvSpPr>
      <dsp:spPr bwMode="white">
        <a:xfrm>
          <a:off x="1515491" y="1570832"/>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质检部</a:t>
          </a:r>
        </a:p>
      </dsp:txBody>
      <dsp:txXfrm>
        <a:off x="1515491" y="1570832"/>
        <a:ext cx="626236" cy="313118"/>
      </dsp:txXfrm>
    </dsp:sp>
    <dsp:sp modelId="{66EA7A45-3062-417F-85FD-FCCE84862468}">
      <dsp:nvSpPr>
        <dsp:cNvPr id="18" name="矩形 17"/>
        <dsp:cNvSpPr/>
      </dsp:nvSpPr>
      <dsp:spPr bwMode="white">
        <a:xfrm>
          <a:off x="2273237" y="1570832"/>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技术部</a:t>
          </a:r>
        </a:p>
      </dsp:txBody>
      <dsp:txXfrm>
        <a:off x="2273237" y="1570832"/>
        <a:ext cx="626236" cy="313118"/>
      </dsp:txXfrm>
    </dsp:sp>
    <dsp:sp modelId="{15E9D028-79C1-48E2-996E-8EDD0C929503}">
      <dsp:nvSpPr>
        <dsp:cNvPr id="21" name="矩形 20"/>
        <dsp:cNvSpPr/>
      </dsp:nvSpPr>
      <dsp:spPr bwMode="white">
        <a:xfrm>
          <a:off x="3030983" y="1570832"/>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生产部</a:t>
          </a:r>
        </a:p>
      </dsp:txBody>
      <dsp:txXfrm>
        <a:off x="3030983" y="1570832"/>
        <a:ext cx="626236" cy="313118"/>
      </dsp:txXfrm>
    </dsp:sp>
    <dsp:sp modelId="{E8D280BB-7285-4E81-938F-12AC6303F7FD}">
      <dsp:nvSpPr>
        <dsp:cNvPr id="24" name="矩形 23"/>
        <dsp:cNvSpPr/>
      </dsp:nvSpPr>
      <dsp:spPr bwMode="white">
        <a:xfrm>
          <a:off x="3788728" y="1570832"/>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采购部</a:t>
          </a:r>
        </a:p>
      </dsp:txBody>
      <dsp:txXfrm>
        <a:off x="3788728" y="1570832"/>
        <a:ext cx="626236" cy="313118"/>
      </dsp:txXfrm>
    </dsp:sp>
    <dsp:sp modelId="{82F7E541-B17B-475A-9637-FD04329700AD}">
      <dsp:nvSpPr>
        <dsp:cNvPr id="27" name="矩形 26"/>
        <dsp:cNvSpPr/>
      </dsp:nvSpPr>
      <dsp:spPr bwMode="white">
        <a:xfrm>
          <a:off x="4546474" y="1570832"/>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财务部</a:t>
          </a:r>
        </a:p>
      </dsp:txBody>
      <dsp:txXfrm>
        <a:off x="4546474" y="1570832"/>
        <a:ext cx="626236" cy="313118"/>
      </dsp:txXfrm>
    </dsp:sp>
    <dsp:sp modelId="{37282494-66C3-4658-8A46-1068468D3FC1}">
      <dsp:nvSpPr>
        <dsp:cNvPr id="30" name="矩形 29"/>
        <dsp:cNvSpPr/>
      </dsp:nvSpPr>
      <dsp:spPr bwMode="white">
        <a:xfrm>
          <a:off x="1592418" y="1126205"/>
          <a:ext cx="928182"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管理者代表</a:t>
          </a:r>
        </a:p>
      </dsp:txBody>
      <dsp:txXfrm>
        <a:off x="1592418" y="1126205"/>
        <a:ext cx="928182" cy="313118"/>
      </dsp:txXfrm>
    </dsp:sp>
    <dsp:sp modelId="{E3F5E778-9781-4B40-AD44-584D0F2FB142}">
      <dsp:nvSpPr>
        <dsp:cNvPr id="32" name="矩形 31"/>
        <dsp:cNvSpPr/>
      </dsp:nvSpPr>
      <dsp:spPr bwMode="white">
        <a:xfrm>
          <a:off x="3030983" y="236950"/>
          <a:ext cx="626236" cy="313118"/>
        </a:xfrm>
        <a:prstGeom prst="rect">
          <a:avLst/>
        </a:prstGeom>
        <a:sp3d prstMaterial="dkEdge">
          <a:bevelT w="8200" h="38100"/>
        </a:sp3d>
      </dsp:spPr>
      <dsp:style>
        <a:lnRef idx="0">
          <a:schemeClr val="lt1"/>
        </a:lnRef>
        <a:fillRef idx="2">
          <a:schemeClr val="accent1"/>
        </a:fillRef>
        <a:effectRef idx="1">
          <a:scrgbClr r="0" g="0" b="0"/>
        </a:effectRef>
        <a:fontRef idx="minor">
          <a:schemeClr val="dk1"/>
        </a:fontRef>
      </dsp:style>
      <dsp:txBody>
        <a:bodyPr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t>监事</a:t>
          </a:r>
        </a:p>
      </dsp:txBody>
      <dsp:txXfrm>
        <a:off x="3030983" y="236950"/>
        <a:ext cx="626236" cy="313118"/>
      </dsp:txXfrm>
    </dsp:sp>
    <dsp:sp modelId="{3BDCCEC7-C42F-410A-842E-24BFF6307415}">
      <dsp:nvSpPr>
        <dsp:cNvPr id="4" name="矩形 3" hidden="1"/>
        <dsp:cNvSpPr/>
      </dsp:nvSpPr>
      <dsp:spPr>
        <a:xfrm>
          <a:off x="2273237" y="236950"/>
          <a:ext cx="125247" cy="313118"/>
        </a:xfrm>
        <a:prstGeom prst="rect">
          <a:avLst/>
        </a:prstGeom>
      </dsp:spPr>
      <dsp:txXfrm>
        <a:off x="2273237" y="236950"/>
        <a:ext cx="125247" cy="313118"/>
      </dsp:txXfrm>
    </dsp:sp>
    <dsp:sp modelId="{32D6A0D1-30A6-4C48-9E83-1EFA06870CE7}">
      <dsp:nvSpPr>
        <dsp:cNvPr id="7" name="矩形 6" hidden="1"/>
        <dsp:cNvSpPr/>
      </dsp:nvSpPr>
      <dsp:spPr>
        <a:xfrm>
          <a:off x="2774226" y="681577"/>
          <a:ext cx="125247" cy="313118"/>
        </a:xfrm>
        <a:prstGeom prst="rect">
          <a:avLst/>
        </a:prstGeom>
      </dsp:spPr>
      <dsp:txXfrm>
        <a:off x="2774226" y="681577"/>
        <a:ext cx="125247" cy="313118"/>
      </dsp:txXfrm>
    </dsp:sp>
    <dsp:sp modelId="{71F3CBD9-43DA-402D-8323-B536014104BB}">
      <dsp:nvSpPr>
        <dsp:cNvPr id="10" name="矩形 9" hidden="1"/>
        <dsp:cNvSpPr/>
      </dsp:nvSpPr>
      <dsp:spPr>
        <a:xfrm>
          <a:off x="0" y="1570832"/>
          <a:ext cx="125247" cy="313118"/>
        </a:xfrm>
        <a:prstGeom prst="rect">
          <a:avLst/>
        </a:prstGeom>
      </dsp:spPr>
      <dsp:txXfrm>
        <a:off x="0" y="1570832"/>
        <a:ext cx="125247" cy="313118"/>
      </dsp:txXfrm>
    </dsp:sp>
    <dsp:sp modelId="{1EF5E509-0679-4DA6-872C-70A890430F33}">
      <dsp:nvSpPr>
        <dsp:cNvPr id="13" name="矩形 12" hidden="1"/>
        <dsp:cNvSpPr/>
      </dsp:nvSpPr>
      <dsp:spPr>
        <a:xfrm>
          <a:off x="757746" y="1570832"/>
          <a:ext cx="125247" cy="313118"/>
        </a:xfrm>
        <a:prstGeom prst="rect">
          <a:avLst/>
        </a:prstGeom>
      </dsp:spPr>
      <dsp:txXfrm>
        <a:off x="757746" y="1570832"/>
        <a:ext cx="125247" cy="313118"/>
      </dsp:txXfrm>
    </dsp:sp>
    <dsp:sp modelId="{A641DD78-2D3D-44E5-B61D-FBABD7E0C921}">
      <dsp:nvSpPr>
        <dsp:cNvPr id="16" name="矩形 15" hidden="1"/>
        <dsp:cNvSpPr/>
      </dsp:nvSpPr>
      <dsp:spPr>
        <a:xfrm>
          <a:off x="1515491" y="1570832"/>
          <a:ext cx="125247" cy="313118"/>
        </a:xfrm>
        <a:prstGeom prst="rect">
          <a:avLst/>
        </a:prstGeom>
      </dsp:spPr>
      <dsp:txXfrm>
        <a:off x="1515491" y="1570832"/>
        <a:ext cx="125247" cy="313118"/>
      </dsp:txXfrm>
    </dsp:sp>
    <dsp:sp modelId="{2C7AC0E5-7C38-463A-A4EF-DC616A7DB4DD}">
      <dsp:nvSpPr>
        <dsp:cNvPr id="19" name="矩形 18" hidden="1"/>
        <dsp:cNvSpPr/>
      </dsp:nvSpPr>
      <dsp:spPr>
        <a:xfrm>
          <a:off x="2273237" y="1570832"/>
          <a:ext cx="125247" cy="313118"/>
        </a:xfrm>
        <a:prstGeom prst="rect">
          <a:avLst/>
        </a:prstGeom>
      </dsp:spPr>
      <dsp:txXfrm>
        <a:off x="2273237" y="1570832"/>
        <a:ext cx="125247" cy="313118"/>
      </dsp:txXfrm>
    </dsp:sp>
    <dsp:sp modelId="{C3B21518-9E89-475F-AEC0-F06CDE9D9604}">
      <dsp:nvSpPr>
        <dsp:cNvPr id="22" name="矩形 21" hidden="1"/>
        <dsp:cNvSpPr/>
      </dsp:nvSpPr>
      <dsp:spPr>
        <a:xfrm>
          <a:off x="3030983" y="1570832"/>
          <a:ext cx="125247" cy="313118"/>
        </a:xfrm>
        <a:prstGeom prst="rect">
          <a:avLst/>
        </a:prstGeom>
      </dsp:spPr>
      <dsp:txXfrm>
        <a:off x="3030983" y="1570832"/>
        <a:ext cx="125247" cy="313118"/>
      </dsp:txXfrm>
    </dsp:sp>
    <dsp:sp modelId="{DB7467CC-0DCE-4B67-AAC0-64D272F867BA}">
      <dsp:nvSpPr>
        <dsp:cNvPr id="25" name="矩形 24" hidden="1"/>
        <dsp:cNvSpPr/>
      </dsp:nvSpPr>
      <dsp:spPr>
        <a:xfrm>
          <a:off x="3788728" y="1570832"/>
          <a:ext cx="125247" cy="313118"/>
        </a:xfrm>
        <a:prstGeom prst="rect">
          <a:avLst/>
        </a:prstGeom>
      </dsp:spPr>
      <dsp:txXfrm>
        <a:off x="3788728" y="1570832"/>
        <a:ext cx="125247" cy="313118"/>
      </dsp:txXfrm>
    </dsp:sp>
    <dsp:sp modelId="{8CDC79C3-8FC7-45E1-B72E-81A7AD9AFEB9}">
      <dsp:nvSpPr>
        <dsp:cNvPr id="28" name="矩形 27" hidden="1"/>
        <dsp:cNvSpPr/>
      </dsp:nvSpPr>
      <dsp:spPr>
        <a:xfrm>
          <a:off x="4546474" y="1570832"/>
          <a:ext cx="125247" cy="313118"/>
        </a:xfrm>
        <a:prstGeom prst="rect">
          <a:avLst/>
        </a:prstGeom>
      </dsp:spPr>
      <dsp:txXfrm>
        <a:off x="4546474" y="1570832"/>
        <a:ext cx="125247" cy="313118"/>
      </dsp:txXfrm>
    </dsp:sp>
    <dsp:sp modelId="{8489666E-6224-49B4-B768-7627C330EC83}">
      <dsp:nvSpPr>
        <dsp:cNvPr id="31" name="矩形 30" hidden="1"/>
        <dsp:cNvSpPr/>
      </dsp:nvSpPr>
      <dsp:spPr>
        <a:xfrm>
          <a:off x="1592418" y="1126205"/>
          <a:ext cx="185636" cy="313118"/>
        </a:xfrm>
        <a:prstGeom prst="rect">
          <a:avLst/>
        </a:prstGeom>
      </dsp:spPr>
      <dsp:txXfrm>
        <a:off x="1592418" y="1126205"/>
        <a:ext cx="185636" cy="313118"/>
      </dsp:txXfrm>
    </dsp:sp>
    <dsp:sp modelId="{BC17F644-0D6B-4AAD-836C-FFB0F367331D}">
      <dsp:nvSpPr>
        <dsp:cNvPr id="33" name="矩形 32" hidden="1"/>
        <dsp:cNvSpPr/>
      </dsp:nvSpPr>
      <dsp:spPr>
        <a:xfrm>
          <a:off x="3030983" y="236950"/>
          <a:ext cx="125247" cy="313118"/>
        </a:xfrm>
        <a:prstGeom prst="rect">
          <a:avLst/>
        </a:prstGeom>
      </dsp:spPr>
      <dsp:txXfrm>
        <a:off x="3030983" y="236950"/>
        <a:ext cx="125247" cy="313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2">
  <dgm:title val=""/>
  <dgm:desc val=""/>
  <dgm:catLst>
    <dgm:cat type="simple" pri="103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1567</Words>
  <Characters>8936</Characters>
  <Lines>74</Lines>
  <Paragraphs>20</Paragraphs>
  <TotalTime>1</TotalTime>
  <ScaleCrop>false</ScaleCrop>
  <LinksUpToDate>false</LinksUpToDate>
  <CharactersWithSpaces>10483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2022-11-12T07:42:00Z</dcterms:created>
  <dc:creator>Rock Hong</dc:creator>
  <cp:lastModifiedBy>WPS_1675929760</cp:lastModifiedBy>
  <dcterms:modified xsi:type="dcterms:W3CDTF">2023-11-14T01:43:03Z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975F23BDF74649888991D1B510BDEB83</vt:lpwstr>
  </property>
</Properties>
</file>