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C094FF2">
      <w:pPr>
        <w:ind w:right="-382"/>
      </w:pPr>
    </w:p>
    <w:p w14:paraId="30F14BA8">
      <w:pPr>
        <w:ind w:right="-382"/>
      </w:pPr>
    </w:p>
    <w:p w14:paraId="6F655BE5">
      <w:pPr>
        <w:ind w:firstLine="723" w:firstLineChars="100"/>
        <w:jc w:val="both"/>
        <w:rPr>
          <w:rFonts w:hint="eastAsia" w:ascii="仿宋" w:hAnsi="仿宋" w:eastAsia="仿宋"/>
          <w:b/>
          <w:color w:val="000000"/>
          <w:sz w:val="72"/>
          <w:szCs w:val="72"/>
          <w:lang w:eastAsia="zh-CN"/>
        </w:rPr>
      </w:pPr>
      <w:r>
        <w:rPr>
          <w:rFonts w:hint="eastAsia" w:ascii="宋体" w:hAnsi="宋体" w:eastAsia="仿宋"/>
          <w:b/>
          <w:sz w:val="72"/>
          <w:szCs w:val="72"/>
          <w:lang w:val="en-US" w:eastAsia="zh-CN"/>
        </w:rPr>
        <w:t>浙江华普电缆有限公司</w:t>
      </w:r>
    </w:p>
    <w:p w14:paraId="0909B64C">
      <w:pPr>
        <w:rPr>
          <w:b/>
          <w:color w:val="000000"/>
        </w:rPr>
      </w:pPr>
    </w:p>
    <w:p w14:paraId="73DAAC29">
      <w:pPr>
        <w:rPr>
          <w:b/>
          <w:color w:val="000000"/>
          <w:kern w:val="0"/>
        </w:rPr>
      </w:pPr>
    </w:p>
    <w:p w14:paraId="457A908A">
      <w:pPr>
        <w:jc w:val="center"/>
        <w:rPr>
          <w:rFonts w:ascii="宋体" w:hAnsi="宋体"/>
          <w:b/>
          <w:color w:val="000000"/>
          <w:kern w:val="0"/>
          <w:sz w:val="52"/>
          <w:szCs w:val="52"/>
        </w:rPr>
      </w:pPr>
    </w:p>
    <w:p w14:paraId="6B54DD95">
      <w:pPr>
        <w:jc w:val="center"/>
        <w:rPr>
          <w:rFonts w:ascii="宋体" w:hAnsi="宋体"/>
          <w:b/>
          <w:color w:val="000000"/>
          <w:kern w:val="0"/>
          <w:sz w:val="52"/>
          <w:szCs w:val="52"/>
        </w:rPr>
      </w:pPr>
      <w:r>
        <w:rPr>
          <w:rFonts w:hint="eastAsia" w:ascii="宋体" w:hAnsi="宋体"/>
          <w:b/>
          <w:color w:val="000000"/>
          <w:kern w:val="0"/>
          <w:sz w:val="52"/>
          <w:szCs w:val="52"/>
        </w:rPr>
        <w:t>20</w:t>
      </w:r>
      <w:r>
        <w:rPr>
          <w:rFonts w:hint="eastAsia" w:ascii="宋体" w:hAnsi="宋体"/>
          <w:b/>
          <w:color w:val="000000"/>
          <w:kern w:val="0"/>
          <w:sz w:val="52"/>
          <w:szCs w:val="52"/>
          <w:lang w:val="en-US" w:eastAsia="zh-CN"/>
        </w:rPr>
        <w:t>25</w:t>
      </w:r>
      <w:r>
        <w:rPr>
          <w:rFonts w:hint="eastAsia" w:ascii="宋体" w:hAnsi="宋体"/>
          <w:b/>
          <w:color w:val="000000"/>
          <w:kern w:val="0"/>
          <w:sz w:val="52"/>
          <w:szCs w:val="52"/>
        </w:rPr>
        <w:t>年度质量诚信报告</w:t>
      </w:r>
    </w:p>
    <w:p w14:paraId="12703291">
      <w:pPr>
        <w:spacing w:line="360" w:lineRule="auto"/>
        <w:rPr>
          <w:rFonts w:ascii="宋体" w:hAnsi="宋体"/>
          <w:color w:val="000000"/>
          <w:sz w:val="24"/>
        </w:rPr>
      </w:pPr>
    </w:p>
    <w:p w14:paraId="3D2C9A5D">
      <w:pPr>
        <w:spacing w:line="360" w:lineRule="auto"/>
        <w:rPr>
          <w:rFonts w:ascii="宋体" w:hAnsi="宋体"/>
          <w:color w:val="000000"/>
          <w:sz w:val="24"/>
        </w:rPr>
      </w:pPr>
    </w:p>
    <w:p w14:paraId="4FFA8616">
      <w:pPr>
        <w:pStyle w:val="22"/>
      </w:pPr>
    </w:p>
    <w:p w14:paraId="4434308C">
      <w:pPr>
        <w:spacing w:line="360" w:lineRule="auto"/>
        <w:rPr>
          <w:rFonts w:hint="eastAsia" w:ascii="宋体" w:hAnsi="宋体" w:eastAsia="宋体"/>
          <w:color w:val="000000"/>
          <w:sz w:val="24"/>
          <w:lang w:eastAsia="zh-CN"/>
        </w:rPr>
      </w:pPr>
      <w:r>
        <w:rPr>
          <w:rFonts w:hint="eastAsia" w:ascii="宋体" w:hAnsi="宋体" w:eastAsia="宋体"/>
          <w:color w:val="000000"/>
          <w:sz w:val="24"/>
          <w:lang w:eastAsia="zh-CN"/>
        </w:rPr>
        <w:drawing>
          <wp:inline distT="0" distB="0" distL="114300" distR="114300">
            <wp:extent cx="5264785" cy="3947160"/>
            <wp:effectExtent l="0" t="0" r="5715" b="2540"/>
            <wp:docPr id="8" name="图片 8" descr="a8c3eab84df3faa9fd2da9dbaa8ff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8c3eab84df3faa9fd2da9dbaa8ff31"/>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14:paraId="7D910F0D">
      <w:pPr>
        <w:spacing w:line="360" w:lineRule="auto"/>
        <w:jc w:val="center"/>
        <w:rPr>
          <w:rFonts w:ascii="宋体" w:hAnsi="宋体"/>
          <w:b/>
          <w:color w:val="000000"/>
          <w:sz w:val="36"/>
          <w:szCs w:val="36"/>
        </w:rPr>
      </w:pPr>
    </w:p>
    <w:p w14:paraId="79190419">
      <w:pPr>
        <w:pStyle w:val="22"/>
      </w:pPr>
    </w:p>
    <w:p w14:paraId="70461B37">
      <w:pPr>
        <w:spacing w:line="360" w:lineRule="auto"/>
        <w:jc w:val="center"/>
        <w:rPr>
          <w:rFonts w:ascii="宋体" w:hAnsi="宋体"/>
          <w:color w:val="000000"/>
          <w:sz w:val="44"/>
          <w:szCs w:val="44"/>
        </w:rPr>
      </w:pPr>
      <w:r>
        <w:rPr>
          <w:rFonts w:hint="eastAsia" w:ascii="宋体" w:hAnsi="宋体"/>
          <w:b/>
          <w:color w:val="000000"/>
          <w:sz w:val="36"/>
          <w:szCs w:val="36"/>
        </w:rPr>
        <w:t>二0二</w:t>
      </w:r>
      <w:r>
        <w:rPr>
          <w:rFonts w:hint="eastAsia" w:ascii="宋体" w:hAnsi="宋体"/>
          <w:b/>
          <w:color w:val="000000"/>
          <w:sz w:val="36"/>
          <w:szCs w:val="36"/>
          <w:lang w:val="en-US" w:eastAsia="zh-CN"/>
        </w:rPr>
        <w:t>六</w:t>
      </w:r>
      <w:r>
        <w:rPr>
          <w:rFonts w:hint="eastAsia" w:ascii="宋体" w:hAnsi="宋体"/>
          <w:b/>
          <w:color w:val="000000"/>
          <w:sz w:val="36"/>
          <w:szCs w:val="36"/>
        </w:rPr>
        <w:t>年</w:t>
      </w:r>
      <w:r>
        <w:rPr>
          <w:rFonts w:hint="eastAsia" w:ascii="宋体" w:hAnsi="宋体"/>
          <w:b/>
          <w:color w:val="000000"/>
          <w:sz w:val="36"/>
          <w:szCs w:val="36"/>
          <w:lang w:val="en-US" w:eastAsia="zh-CN"/>
        </w:rPr>
        <w:t>一</w:t>
      </w:r>
      <w:r>
        <w:rPr>
          <w:rFonts w:hint="eastAsia" w:ascii="宋体" w:hAnsi="宋体"/>
          <w:b/>
          <w:color w:val="000000"/>
          <w:sz w:val="36"/>
          <w:szCs w:val="36"/>
        </w:rPr>
        <w:t>月</w:t>
      </w:r>
    </w:p>
    <w:p w14:paraId="2616B2A7">
      <w:pPr>
        <w:ind w:right="-382"/>
      </w:pPr>
    </w:p>
    <w:p w14:paraId="508C87B6">
      <w:pPr>
        <w:pStyle w:val="18"/>
        <w:tabs>
          <w:tab w:val="right" w:leader="dot" w:pos="8296"/>
        </w:tabs>
        <w:spacing w:before="78" w:after="78" w:line="276" w:lineRule="auto"/>
        <w:jc w:val="center"/>
        <w:rPr>
          <w:rFonts w:cs="宋体" w:asciiTheme="minorEastAsia" w:hAnsiTheme="minorEastAsia" w:eastAsiaTheme="minorEastAsia"/>
          <w:b/>
          <w:bCs/>
          <w:color w:val="000000" w:themeColor="text1"/>
          <w:kern w:val="32"/>
          <w:sz w:val="44"/>
          <w:szCs w:val="44"/>
        </w:rPr>
        <w:sectPr>
          <w:headerReference r:id="rId4"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titlePg/>
          <w:docGrid w:type="lines" w:linePitch="312" w:charSpace="0"/>
        </w:sectPr>
      </w:pPr>
    </w:p>
    <w:p w14:paraId="3A683231"/>
    <w:p w14:paraId="5614C85E">
      <w:pPr>
        <w:pStyle w:val="18"/>
        <w:tabs>
          <w:tab w:val="right" w:leader="dot" w:pos="8296"/>
        </w:tabs>
        <w:spacing w:before="78" w:after="78" w:line="276" w:lineRule="auto"/>
        <w:jc w:val="center"/>
        <w:rPr>
          <w:rFonts w:cs="宋体" w:asciiTheme="minorEastAsia" w:hAnsiTheme="minorEastAsia" w:eastAsiaTheme="minorEastAsia"/>
          <w:b/>
          <w:bCs/>
          <w:color w:val="000000" w:themeColor="text1"/>
          <w:kern w:val="32"/>
          <w:sz w:val="44"/>
          <w:szCs w:val="44"/>
        </w:rPr>
      </w:pPr>
      <w:r>
        <w:rPr>
          <w:rFonts w:hint="eastAsia" w:cs="宋体" w:asciiTheme="minorEastAsia" w:hAnsiTheme="minorEastAsia" w:eastAsiaTheme="minorEastAsia"/>
          <w:b/>
          <w:bCs/>
          <w:color w:val="000000" w:themeColor="text1"/>
          <w:kern w:val="32"/>
          <w:sz w:val="44"/>
          <w:szCs w:val="44"/>
        </w:rPr>
        <w:t>目  录</w:t>
      </w:r>
    </w:p>
    <w:sdt>
      <w:sdtPr>
        <w:rPr>
          <w:rFonts w:hint="default" w:ascii="宋体" w:hAnsi="宋体" w:eastAsia="宋体" w:cs="Times New Roman"/>
          <w:kern w:val="2"/>
          <w:sz w:val="21"/>
          <w:szCs w:val="24"/>
          <w:lang w:val="en-US" w:eastAsia="zh-CN" w:bidi="ar-SA"/>
        </w:rPr>
        <w:id w:val="147467774"/>
        <w15:color w:val="DBDBDB"/>
        <w:docPartObj>
          <w:docPartGallery w:val="Table of Contents"/>
          <w:docPartUnique/>
        </w:docPartObj>
      </w:sdtPr>
      <w:sdtEndPr>
        <w:rPr>
          <w:rFonts w:hint="default" w:cs="Times New Roman" w:asciiTheme="minorEastAsia" w:hAnsiTheme="minorEastAsia" w:eastAsiaTheme="minorEastAsia"/>
          <w:b/>
          <w:color w:val="000000" w:themeColor="text1"/>
          <w:kern w:val="2"/>
          <w:sz w:val="21"/>
          <w:szCs w:val="28"/>
          <w:lang w:val="en-US" w:eastAsia="zh-CN" w:bidi="ar-SA"/>
        </w:rPr>
      </w:sdtEndPr>
      <w:sdtContent>
        <w:p w14:paraId="6572BDA1">
          <w:pPr>
            <w:spacing w:before="0" w:beforeLines="0" w:after="0" w:afterLines="0" w:line="240" w:lineRule="auto"/>
            <w:ind w:left="0" w:leftChars="0" w:right="0" w:rightChars="0" w:firstLine="0" w:firstLineChars="0"/>
            <w:jc w:val="center"/>
            <w:rPr>
              <w:rFonts w:hint="default"/>
              <w:lang w:val="en-US"/>
            </w:rPr>
          </w:pPr>
          <w:r>
            <w:rPr>
              <w:rFonts w:hint="eastAsia" w:ascii="宋体" w:hAnsi="宋体" w:cs="Times New Roman"/>
              <w:kern w:val="2"/>
              <w:sz w:val="21"/>
              <w:szCs w:val="24"/>
              <w:lang w:val="en-US" w:eastAsia="zh-CN" w:bidi="ar-SA"/>
            </w:rPr>
            <w:t xml:space="preserve"> </w:t>
          </w:r>
        </w:p>
        <w:p w14:paraId="6C69DC89">
          <w:pPr>
            <w:pStyle w:val="114"/>
            <w:tabs>
              <w:tab w:val="right" w:leader="dot" w:pos="8306"/>
            </w:tabs>
            <w:spacing w:line="360" w:lineRule="auto"/>
            <w:rPr>
              <w:b/>
              <w:sz w:val="24"/>
              <w:szCs w:val="24"/>
            </w:rPr>
          </w:pPr>
          <w:r>
            <w:rPr>
              <w:rFonts w:asciiTheme="minorEastAsia" w:hAnsiTheme="minorEastAsia" w:eastAsiaTheme="minorEastAsia"/>
              <w:color w:val="000000" w:themeColor="text1"/>
              <w:sz w:val="28"/>
              <w:szCs w:val="28"/>
            </w:rPr>
            <w:fldChar w:fldCharType="begin"/>
          </w:r>
          <w:r>
            <w:rPr>
              <w:rFonts w:asciiTheme="minorEastAsia" w:hAnsiTheme="minorEastAsia" w:eastAsiaTheme="minorEastAsia"/>
              <w:color w:val="000000" w:themeColor="text1"/>
              <w:sz w:val="28"/>
              <w:szCs w:val="28"/>
            </w:rPr>
            <w:instrText xml:space="preserve">TOC \o "1-2" \h \u </w:instrText>
          </w:r>
          <w:r>
            <w:rPr>
              <w:rFonts w:asciiTheme="minorEastAsia" w:hAnsiTheme="minorEastAsia" w:eastAsiaTheme="minorEastAsia"/>
              <w:color w:val="000000" w:themeColor="text1"/>
              <w:sz w:val="28"/>
              <w:szCs w:val="28"/>
            </w:rPr>
            <w:fldChar w:fldCharType="separate"/>
          </w: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_Toc20185 </w:instrText>
          </w:r>
          <w:r>
            <w:rPr>
              <w:rFonts w:asciiTheme="minorEastAsia" w:hAnsiTheme="minorEastAsia" w:eastAsiaTheme="minorEastAsia"/>
              <w:b/>
              <w:sz w:val="24"/>
              <w:szCs w:val="24"/>
            </w:rPr>
            <w:fldChar w:fldCharType="separate"/>
          </w:r>
          <w:r>
            <w:rPr>
              <w:rFonts w:hint="eastAsia" w:cs="宋体" w:asciiTheme="minorEastAsia" w:hAnsiTheme="minorEastAsia" w:eastAsiaTheme="minorEastAsia"/>
              <w:b/>
              <w:bCs/>
              <w:kern w:val="32"/>
              <w:sz w:val="24"/>
              <w:szCs w:val="24"/>
            </w:rPr>
            <w:t>前  言</w:t>
          </w:r>
          <w:r>
            <w:rPr>
              <w:b/>
              <w:sz w:val="24"/>
              <w:szCs w:val="24"/>
            </w:rPr>
            <w:tab/>
          </w:r>
          <w:r>
            <w:rPr>
              <w:b/>
              <w:sz w:val="24"/>
              <w:szCs w:val="24"/>
            </w:rPr>
            <w:fldChar w:fldCharType="begin"/>
          </w:r>
          <w:r>
            <w:rPr>
              <w:b/>
              <w:sz w:val="24"/>
              <w:szCs w:val="24"/>
            </w:rPr>
            <w:instrText xml:space="preserve"> PAGEREF _Toc20185 </w:instrText>
          </w:r>
          <w:r>
            <w:rPr>
              <w:b/>
              <w:sz w:val="24"/>
              <w:szCs w:val="24"/>
            </w:rPr>
            <w:fldChar w:fldCharType="separate"/>
          </w:r>
          <w:r>
            <w:rPr>
              <w:b/>
              <w:sz w:val="24"/>
              <w:szCs w:val="24"/>
            </w:rPr>
            <w:t>2</w:t>
          </w:r>
          <w:r>
            <w:rPr>
              <w:b/>
              <w:sz w:val="24"/>
              <w:szCs w:val="24"/>
            </w:rPr>
            <w:fldChar w:fldCharType="end"/>
          </w:r>
          <w:r>
            <w:rPr>
              <w:rFonts w:asciiTheme="minorEastAsia" w:hAnsiTheme="minorEastAsia" w:eastAsiaTheme="minorEastAsia"/>
              <w:b/>
              <w:color w:val="000000" w:themeColor="text1"/>
              <w:sz w:val="24"/>
              <w:szCs w:val="24"/>
            </w:rPr>
            <w:fldChar w:fldCharType="end"/>
          </w:r>
        </w:p>
        <w:p w14:paraId="61D7DAAB">
          <w:pPr>
            <w:pStyle w:val="114"/>
            <w:tabs>
              <w:tab w:val="right" w:leader="dot" w:pos="8306"/>
            </w:tabs>
            <w:spacing w:line="360" w:lineRule="auto"/>
            <w:rPr>
              <w:b/>
              <w:sz w:val="24"/>
              <w:szCs w:val="24"/>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_Toc5537 </w:instrText>
          </w:r>
          <w:r>
            <w:rPr>
              <w:rFonts w:asciiTheme="minorEastAsia" w:hAnsiTheme="minorEastAsia" w:eastAsiaTheme="minorEastAsia"/>
              <w:b/>
              <w:sz w:val="24"/>
              <w:szCs w:val="24"/>
            </w:rPr>
            <w:fldChar w:fldCharType="separate"/>
          </w:r>
          <w:r>
            <w:rPr>
              <w:rFonts w:hint="eastAsia" w:asciiTheme="minorEastAsia" w:hAnsiTheme="minorEastAsia" w:eastAsiaTheme="minorEastAsia"/>
              <w:b/>
              <w:sz w:val="24"/>
              <w:szCs w:val="24"/>
            </w:rPr>
            <w:t>一、公司简介</w:t>
          </w:r>
          <w:r>
            <w:rPr>
              <w:b/>
              <w:sz w:val="24"/>
              <w:szCs w:val="24"/>
            </w:rPr>
            <w:tab/>
          </w:r>
          <w:r>
            <w:rPr>
              <w:b/>
              <w:sz w:val="24"/>
              <w:szCs w:val="24"/>
            </w:rPr>
            <w:fldChar w:fldCharType="begin"/>
          </w:r>
          <w:r>
            <w:rPr>
              <w:b/>
              <w:sz w:val="24"/>
              <w:szCs w:val="24"/>
            </w:rPr>
            <w:instrText xml:space="preserve"> PAGEREF _Toc5537 </w:instrText>
          </w:r>
          <w:r>
            <w:rPr>
              <w:b/>
              <w:sz w:val="24"/>
              <w:szCs w:val="24"/>
            </w:rPr>
            <w:fldChar w:fldCharType="separate"/>
          </w:r>
          <w:r>
            <w:rPr>
              <w:b/>
              <w:sz w:val="24"/>
              <w:szCs w:val="24"/>
            </w:rPr>
            <w:t>4</w:t>
          </w:r>
          <w:r>
            <w:rPr>
              <w:b/>
              <w:sz w:val="24"/>
              <w:szCs w:val="24"/>
            </w:rPr>
            <w:fldChar w:fldCharType="end"/>
          </w:r>
          <w:r>
            <w:rPr>
              <w:rFonts w:asciiTheme="minorEastAsia" w:hAnsiTheme="minorEastAsia" w:eastAsiaTheme="minorEastAsia"/>
              <w:b/>
              <w:color w:val="000000" w:themeColor="text1"/>
              <w:sz w:val="24"/>
              <w:szCs w:val="24"/>
            </w:rPr>
            <w:fldChar w:fldCharType="end"/>
          </w:r>
        </w:p>
        <w:p w14:paraId="62B76758">
          <w:pPr>
            <w:pStyle w:val="114"/>
            <w:tabs>
              <w:tab w:val="right" w:leader="dot" w:pos="8306"/>
            </w:tabs>
            <w:spacing w:line="360" w:lineRule="auto"/>
            <w:rPr>
              <w:b/>
              <w:sz w:val="24"/>
              <w:szCs w:val="24"/>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_Toc17718 </w:instrText>
          </w:r>
          <w:r>
            <w:rPr>
              <w:rFonts w:asciiTheme="minorEastAsia" w:hAnsiTheme="minorEastAsia" w:eastAsiaTheme="minorEastAsia"/>
              <w:b/>
              <w:sz w:val="24"/>
              <w:szCs w:val="24"/>
            </w:rPr>
            <w:fldChar w:fldCharType="separate"/>
          </w:r>
          <w:r>
            <w:rPr>
              <w:rFonts w:hint="eastAsia" w:asciiTheme="minorEastAsia" w:hAnsiTheme="minorEastAsia" w:eastAsiaTheme="minorEastAsia"/>
              <w:b/>
              <w:sz w:val="24"/>
              <w:szCs w:val="24"/>
            </w:rPr>
            <w:t>二、企业质量理念</w:t>
          </w:r>
          <w:r>
            <w:rPr>
              <w:b/>
              <w:sz w:val="24"/>
              <w:szCs w:val="24"/>
            </w:rPr>
            <w:tab/>
          </w:r>
          <w:r>
            <w:rPr>
              <w:b/>
              <w:sz w:val="24"/>
              <w:szCs w:val="24"/>
            </w:rPr>
            <w:fldChar w:fldCharType="begin"/>
          </w:r>
          <w:r>
            <w:rPr>
              <w:b/>
              <w:sz w:val="24"/>
              <w:szCs w:val="24"/>
            </w:rPr>
            <w:instrText xml:space="preserve"> PAGEREF _Toc17718 </w:instrText>
          </w:r>
          <w:r>
            <w:rPr>
              <w:b/>
              <w:sz w:val="24"/>
              <w:szCs w:val="24"/>
            </w:rPr>
            <w:fldChar w:fldCharType="separate"/>
          </w:r>
          <w:r>
            <w:rPr>
              <w:b/>
              <w:sz w:val="24"/>
              <w:szCs w:val="24"/>
            </w:rPr>
            <w:t>5</w:t>
          </w:r>
          <w:r>
            <w:rPr>
              <w:b/>
              <w:sz w:val="24"/>
              <w:szCs w:val="24"/>
            </w:rPr>
            <w:fldChar w:fldCharType="end"/>
          </w:r>
          <w:r>
            <w:rPr>
              <w:rFonts w:asciiTheme="minorEastAsia" w:hAnsiTheme="minorEastAsia" w:eastAsiaTheme="minorEastAsia"/>
              <w:b/>
              <w:color w:val="000000" w:themeColor="text1"/>
              <w:sz w:val="24"/>
              <w:szCs w:val="24"/>
            </w:rPr>
            <w:fldChar w:fldCharType="end"/>
          </w:r>
        </w:p>
        <w:p w14:paraId="761826CA">
          <w:pPr>
            <w:pStyle w:val="114"/>
            <w:tabs>
              <w:tab w:val="right" w:leader="dot" w:pos="8306"/>
            </w:tabs>
            <w:spacing w:line="360" w:lineRule="auto"/>
            <w:rPr>
              <w:b/>
              <w:sz w:val="24"/>
              <w:szCs w:val="24"/>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_Toc8355 </w:instrText>
          </w:r>
          <w:r>
            <w:rPr>
              <w:rFonts w:asciiTheme="minorEastAsia" w:hAnsiTheme="minorEastAsia" w:eastAsiaTheme="minorEastAsia"/>
              <w:b/>
              <w:sz w:val="24"/>
              <w:szCs w:val="24"/>
            </w:rPr>
            <w:fldChar w:fldCharType="separate"/>
          </w:r>
          <w:r>
            <w:rPr>
              <w:rFonts w:hint="eastAsia" w:asciiTheme="minorEastAsia" w:hAnsiTheme="minorEastAsia" w:eastAsiaTheme="minorEastAsia"/>
              <w:b/>
              <w:sz w:val="24"/>
              <w:szCs w:val="24"/>
            </w:rPr>
            <w:t>三、企业质量管理</w:t>
          </w:r>
          <w:r>
            <w:rPr>
              <w:b/>
              <w:sz w:val="24"/>
              <w:szCs w:val="24"/>
            </w:rPr>
            <w:tab/>
          </w:r>
          <w:r>
            <w:rPr>
              <w:b/>
              <w:sz w:val="24"/>
              <w:szCs w:val="24"/>
            </w:rPr>
            <w:fldChar w:fldCharType="begin"/>
          </w:r>
          <w:r>
            <w:rPr>
              <w:b/>
              <w:sz w:val="24"/>
              <w:szCs w:val="24"/>
            </w:rPr>
            <w:instrText xml:space="preserve"> PAGEREF _Toc8355 </w:instrText>
          </w:r>
          <w:r>
            <w:rPr>
              <w:b/>
              <w:sz w:val="24"/>
              <w:szCs w:val="24"/>
            </w:rPr>
            <w:fldChar w:fldCharType="separate"/>
          </w:r>
          <w:r>
            <w:rPr>
              <w:b/>
              <w:sz w:val="24"/>
              <w:szCs w:val="24"/>
            </w:rPr>
            <w:t>6</w:t>
          </w:r>
          <w:r>
            <w:rPr>
              <w:b/>
              <w:sz w:val="24"/>
              <w:szCs w:val="24"/>
            </w:rPr>
            <w:fldChar w:fldCharType="end"/>
          </w:r>
          <w:r>
            <w:rPr>
              <w:rFonts w:asciiTheme="minorEastAsia" w:hAnsiTheme="minorEastAsia" w:eastAsiaTheme="minorEastAsia"/>
              <w:b/>
              <w:color w:val="000000" w:themeColor="text1"/>
              <w:sz w:val="24"/>
              <w:szCs w:val="24"/>
            </w:rPr>
            <w:fldChar w:fldCharType="end"/>
          </w:r>
        </w:p>
        <w:p w14:paraId="44528082">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_Toc8423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（一）质量管理机构</w:t>
          </w:r>
          <w:r>
            <w:rPr>
              <w:sz w:val="24"/>
              <w:szCs w:val="24"/>
            </w:rPr>
            <w:tab/>
          </w:r>
          <w:r>
            <w:rPr>
              <w:sz w:val="24"/>
              <w:szCs w:val="24"/>
            </w:rPr>
            <w:fldChar w:fldCharType="begin"/>
          </w:r>
          <w:r>
            <w:rPr>
              <w:sz w:val="24"/>
              <w:szCs w:val="24"/>
            </w:rPr>
            <w:instrText xml:space="preserve"> PAGEREF _Toc8423 </w:instrText>
          </w:r>
          <w:r>
            <w:rPr>
              <w:sz w:val="24"/>
              <w:szCs w:val="24"/>
            </w:rPr>
            <w:fldChar w:fldCharType="separate"/>
          </w:r>
          <w:r>
            <w:rPr>
              <w:sz w:val="24"/>
              <w:szCs w:val="24"/>
            </w:rPr>
            <w:t>6</w:t>
          </w:r>
          <w:r>
            <w:rPr>
              <w:sz w:val="24"/>
              <w:szCs w:val="24"/>
            </w:rPr>
            <w:fldChar w:fldCharType="end"/>
          </w:r>
          <w:r>
            <w:rPr>
              <w:rFonts w:asciiTheme="minorEastAsia" w:hAnsiTheme="minorEastAsia" w:eastAsiaTheme="minorEastAsia"/>
              <w:color w:val="000000" w:themeColor="text1"/>
              <w:sz w:val="24"/>
              <w:szCs w:val="24"/>
            </w:rPr>
            <w:fldChar w:fldCharType="end"/>
          </w:r>
        </w:p>
        <w:p w14:paraId="489C3531">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_Toc29349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sz w:val="24"/>
              <w:szCs w:val="24"/>
            </w:rPr>
            <w:t>（二）质量管理体系</w:t>
          </w:r>
          <w:r>
            <w:rPr>
              <w:sz w:val="24"/>
              <w:szCs w:val="24"/>
            </w:rPr>
            <w:tab/>
          </w:r>
          <w:r>
            <w:rPr>
              <w:sz w:val="24"/>
              <w:szCs w:val="24"/>
            </w:rPr>
            <w:fldChar w:fldCharType="begin"/>
          </w:r>
          <w:r>
            <w:rPr>
              <w:sz w:val="24"/>
              <w:szCs w:val="24"/>
            </w:rPr>
            <w:instrText xml:space="preserve"> PAGEREF _Toc29349 </w:instrText>
          </w:r>
          <w:r>
            <w:rPr>
              <w:sz w:val="24"/>
              <w:szCs w:val="24"/>
            </w:rPr>
            <w:fldChar w:fldCharType="separate"/>
          </w:r>
          <w:r>
            <w:rPr>
              <w:sz w:val="24"/>
              <w:szCs w:val="24"/>
            </w:rPr>
            <w:t>7</w:t>
          </w:r>
          <w:r>
            <w:rPr>
              <w:sz w:val="24"/>
              <w:szCs w:val="24"/>
            </w:rPr>
            <w:fldChar w:fldCharType="end"/>
          </w:r>
          <w:r>
            <w:rPr>
              <w:rFonts w:asciiTheme="minorEastAsia" w:hAnsiTheme="minorEastAsia" w:eastAsiaTheme="minorEastAsia"/>
              <w:color w:val="000000" w:themeColor="text1"/>
              <w:sz w:val="24"/>
              <w:szCs w:val="24"/>
            </w:rPr>
            <w:fldChar w:fldCharType="end"/>
          </w:r>
        </w:p>
        <w:p w14:paraId="1ADA2583">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_Toc1998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（三）质量安全风险管理</w:t>
          </w:r>
          <w:r>
            <w:rPr>
              <w:sz w:val="24"/>
              <w:szCs w:val="24"/>
            </w:rPr>
            <w:tab/>
          </w:r>
          <w:r>
            <w:rPr>
              <w:sz w:val="24"/>
              <w:szCs w:val="24"/>
            </w:rPr>
            <w:fldChar w:fldCharType="begin"/>
          </w:r>
          <w:r>
            <w:rPr>
              <w:sz w:val="24"/>
              <w:szCs w:val="24"/>
            </w:rPr>
            <w:instrText xml:space="preserve"> PAGEREF _Toc1998 </w:instrText>
          </w:r>
          <w:r>
            <w:rPr>
              <w:sz w:val="24"/>
              <w:szCs w:val="24"/>
            </w:rPr>
            <w:fldChar w:fldCharType="separate"/>
          </w:r>
          <w:r>
            <w:rPr>
              <w:sz w:val="24"/>
              <w:szCs w:val="24"/>
            </w:rPr>
            <w:t>9</w:t>
          </w:r>
          <w:r>
            <w:rPr>
              <w:sz w:val="24"/>
              <w:szCs w:val="24"/>
            </w:rPr>
            <w:fldChar w:fldCharType="end"/>
          </w:r>
          <w:r>
            <w:rPr>
              <w:rFonts w:asciiTheme="minorEastAsia" w:hAnsiTheme="minorEastAsia" w:eastAsiaTheme="minorEastAsia"/>
              <w:color w:val="000000" w:themeColor="text1"/>
              <w:sz w:val="24"/>
              <w:szCs w:val="24"/>
            </w:rPr>
            <w:fldChar w:fldCharType="end"/>
          </w:r>
        </w:p>
        <w:p w14:paraId="3E401753">
          <w:pPr>
            <w:pStyle w:val="114"/>
            <w:tabs>
              <w:tab w:val="right" w:leader="dot" w:pos="8306"/>
            </w:tabs>
            <w:spacing w:line="360" w:lineRule="auto"/>
            <w:rPr>
              <w:b/>
              <w:sz w:val="24"/>
              <w:szCs w:val="24"/>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_Toc27223 </w:instrText>
          </w:r>
          <w:r>
            <w:rPr>
              <w:rFonts w:asciiTheme="minorEastAsia" w:hAnsiTheme="minorEastAsia" w:eastAsiaTheme="minorEastAsia"/>
              <w:b/>
              <w:sz w:val="24"/>
              <w:szCs w:val="24"/>
            </w:rPr>
            <w:fldChar w:fldCharType="separate"/>
          </w:r>
          <w:r>
            <w:rPr>
              <w:rFonts w:hint="eastAsia" w:cs="仿宋_GB2312" w:asciiTheme="minorEastAsia" w:hAnsiTheme="minorEastAsia" w:eastAsiaTheme="minorEastAsia"/>
              <w:b/>
              <w:bCs/>
              <w:sz w:val="24"/>
              <w:szCs w:val="24"/>
            </w:rPr>
            <w:t>四、质量诚信管理</w:t>
          </w:r>
          <w:r>
            <w:rPr>
              <w:b/>
              <w:sz w:val="24"/>
              <w:szCs w:val="24"/>
            </w:rPr>
            <w:tab/>
          </w:r>
          <w:r>
            <w:rPr>
              <w:b/>
              <w:sz w:val="24"/>
              <w:szCs w:val="24"/>
            </w:rPr>
            <w:fldChar w:fldCharType="begin"/>
          </w:r>
          <w:r>
            <w:rPr>
              <w:b/>
              <w:sz w:val="24"/>
              <w:szCs w:val="24"/>
            </w:rPr>
            <w:instrText xml:space="preserve"> PAGEREF _Toc27223 </w:instrText>
          </w:r>
          <w:r>
            <w:rPr>
              <w:b/>
              <w:sz w:val="24"/>
              <w:szCs w:val="24"/>
            </w:rPr>
            <w:fldChar w:fldCharType="separate"/>
          </w:r>
          <w:r>
            <w:rPr>
              <w:b/>
              <w:sz w:val="24"/>
              <w:szCs w:val="24"/>
            </w:rPr>
            <w:t>11</w:t>
          </w:r>
          <w:r>
            <w:rPr>
              <w:b/>
              <w:sz w:val="24"/>
              <w:szCs w:val="24"/>
            </w:rPr>
            <w:fldChar w:fldCharType="end"/>
          </w:r>
          <w:r>
            <w:rPr>
              <w:rFonts w:asciiTheme="minorEastAsia" w:hAnsiTheme="minorEastAsia" w:eastAsiaTheme="minorEastAsia"/>
              <w:b/>
              <w:color w:val="000000" w:themeColor="text1"/>
              <w:sz w:val="24"/>
              <w:szCs w:val="24"/>
            </w:rPr>
            <w:fldChar w:fldCharType="end"/>
          </w:r>
        </w:p>
        <w:p w14:paraId="209C31F4">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_Toc32539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（一） 质量承诺</w:t>
          </w:r>
          <w:r>
            <w:rPr>
              <w:sz w:val="24"/>
              <w:szCs w:val="24"/>
            </w:rPr>
            <w:tab/>
          </w:r>
          <w:r>
            <w:rPr>
              <w:sz w:val="24"/>
              <w:szCs w:val="24"/>
            </w:rPr>
            <w:fldChar w:fldCharType="begin"/>
          </w:r>
          <w:r>
            <w:rPr>
              <w:sz w:val="24"/>
              <w:szCs w:val="24"/>
            </w:rPr>
            <w:instrText xml:space="preserve"> PAGEREF _Toc32539 </w:instrText>
          </w:r>
          <w:r>
            <w:rPr>
              <w:sz w:val="24"/>
              <w:szCs w:val="24"/>
            </w:rPr>
            <w:fldChar w:fldCharType="separate"/>
          </w:r>
          <w:r>
            <w:rPr>
              <w:sz w:val="24"/>
              <w:szCs w:val="24"/>
            </w:rPr>
            <w:t>11</w:t>
          </w:r>
          <w:r>
            <w:rPr>
              <w:sz w:val="24"/>
              <w:szCs w:val="24"/>
            </w:rPr>
            <w:fldChar w:fldCharType="end"/>
          </w:r>
          <w:r>
            <w:rPr>
              <w:rFonts w:asciiTheme="minorEastAsia" w:hAnsiTheme="minorEastAsia" w:eastAsiaTheme="minorEastAsia"/>
              <w:color w:val="000000" w:themeColor="text1"/>
              <w:sz w:val="24"/>
              <w:szCs w:val="24"/>
            </w:rPr>
            <w:fldChar w:fldCharType="end"/>
          </w:r>
        </w:p>
        <w:p w14:paraId="23630ED8">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_Toc25700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（二）运作管理</w:t>
          </w:r>
          <w:r>
            <w:rPr>
              <w:sz w:val="24"/>
              <w:szCs w:val="24"/>
            </w:rPr>
            <w:tab/>
          </w:r>
          <w:r>
            <w:rPr>
              <w:sz w:val="24"/>
              <w:szCs w:val="24"/>
            </w:rPr>
            <w:fldChar w:fldCharType="begin"/>
          </w:r>
          <w:r>
            <w:rPr>
              <w:sz w:val="24"/>
              <w:szCs w:val="24"/>
            </w:rPr>
            <w:instrText xml:space="preserve"> PAGEREF _Toc25700 </w:instrText>
          </w:r>
          <w:r>
            <w:rPr>
              <w:sz w:val="24"/>
              <w:szCs w:val="24"/>
            </w:rPr>
            <w:fldChar w:fldCharType="separate"/>
          </w:r>
          <w:r>
            <w:rPr>
              <w:sz w:val="24"/>
              <w:szCs w:val="24"/>
            </w:rPr>
            <w:t>11</w:t>
          </w:r>
          <w:r>
            <w:rPr>
              <w:sz w:val="24"/>
              <w:szCs w:val="24"/>
            </w:rPr>
            <w:fldChar w:fldCharType="end"/>
          </w:r>
          <w:r>
            <w:rPr>
              <w:rFonts w:asciiTheme="minorEastAsia" w:hAnsiTheme="minorEastAsia" w:eastAsiaTheme="minorEastAsia"/>
              <w:color w:val="000000" w:themeColor="text1"/>
              <w:sz w:val="24"/>
              <w:szCs w:val="24"/>
            </w:rPr>
            <w:fldChar w:fldCharType="end"/>
          </w:r>
        </w:p>
        <w:p w14:paraId="199ED46A">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_Toc32700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（三）营销管理</w:t>
          </w:r>
          <w:r>
            <w:rPr>
              <w:sz w:val="24"/>
              <w:szCs w:val="24"/>
            </w:rPr>
            <w:tab/>
          </w:r>
          <w:r>
            <w:rPr>
              <w:sz w:val="24"/>
              <w:szCs w:val="24"/>
            </w:rPr>
            <w:fldChar w:fldCharType="begin"/>
          </w:r>
          <w:r>
            <w:rPr>
              <w:sz w:val="24"/>
              <w:szCs w:val="24"/>
            </w:rPr>
            <w:instrText xml:space="preserve"> PAGEREF _Toc32700 </w:instrText>
          </w:r>
          <w:r>
            <w:rPr>
              <w:sz w:val="24"/>
              <w:szCs w:val="24"/>
            </w:rPr>
            <w:fldChar w:fldCharType="separate"/>
          </w:r>
          <w:r>
            <w:rPr>
              <w:sz w:val="24"/>
              <w:szCs w:val="24"/>
            </w:rPr>
            <w:t>12</w:t>
          </w:r>
          <w:r>
            <w:rPr>
              <w:sz w:val="24"/>
              <w:szCs w:val="24"/>
            </w:rPr>
            <w:fldChar w:fldCharType="end"/>
          </w:r>
          <w:r>
            <w:rPr>
              <w:rFonts w:asciiTheme="minorEastAsia" w:hAnsiTheme="minorEastAsia" w:eastAsiaTheme="minorEastAsia"/>
              <w:color w:val="000000" w:themeColor="text1"/>
              <w:sz w:val="24"/>
              <w:szCs w:val="24"/>
            </w:rPr>
            <w:fldChar w:fldCharType="end"/>
          </w:r>
        </w:p>
        <w:p w14:paraId="0A0556F3">
          <w:pPr>
            <w:pStyle w:val="114"/>
            <w:tabs>
              <w:tab w:val="right" w:leader="dot" w:pos="8306"/>
            </w:tabs>
            <w:spacing w:line="360" w:lineRule="auto"/>
            <w:rPr>
              <w:b/>
              <w:sz w:val="24"/>
              <w:szCs w:val="24"/>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_Toc27215 </w:instrText>
          </w:r>
          <w:r>
            <w:rPr>
              <w:rFonts w:asciiTheme="minorEastAsia" w:hAnsiTheme="minorEastAsia" w:eastAsiaTheme="minorEastAsia"/>
              <w:b/>
              <w:sz w:val="24"/>
              <w:szCs w:val="24"/>
            </w:rPr>
            <w:fldChar w:fldCharType="separate"/>
          </w:r>
          <w:r>
            <w:rPr>
              <w:rFonts w:hint="eastAsia" w:cs="仿宋_GB2312" w:asciiTheme="minorEastAsia" w:hAnsiTheme="minorEastAsia" w:eastAsiaTheme="minorEastAsia"/>
              <w:b/>
              <w:sz w:val="24"/>
              <w:szCs w:val="24"/>
            </w:rPr>
            <w:t>五、质量管理基础</w:t>
          </w:r>
          <w:r>
            <w:rPr>
              <w:b/>
              <w:sz w:val="24"/>
              <w:szCs w:val="24"/>
            </w:rPr>
            <w:tab/>
          </w:r>
          <w:r>
            <w:rPr>
              <w:b/>
              <w:sz w:val="24"/>
              <w:szCs w:val="24"/>
            </w:rPr>
            <w:fldChar w:fldCharType="begin"/>
          </w:r>
          <w:r>
            <w:rPr>
              <w:b/>
              <w:sz w:val="24"/>
              <w:szCs w:val="24"/>
            </w:rPr>
            <w:instrText xml:space="preserve"> PAGEREF _Toc27215 </w:instrText>
          </w:r>
          <w:r>
            <w:rPr>
              <w:b/>
              <w:sz w:val="24"/>
              <w:szCs w:val="24"/>
            </w:rPr>
            <w:fldChar w:fldCharType="separate"/>
          </w:r>
          <w:r>
            <w:rPr>
              <w:b/>
              <w:sz w:val="24"/>
              <w:szCs w:val="24"/>
            </w:rPr>
            <w:t>13</w:t>
          </w:r>
          <w:r>
            <w:rPr>
              <w:b/>
              <w:sz w:val="24"/>
              <w:szCs w:val="24"/>
            </w:rPr>
            <w:fldChar w:fldCharType="end"/>
          </w:r>
          <w:r>
            <w:rPr>
              <w:rFonts w:asciiTheme="minorEastAsia" w:hAnsiTheme="minorEastAsia" w:eastAsiaTheme="minorEastAsia"/>
              <w:b/>
              <w:color w:val="000000" w:themeColor="text1"/>
              <w:sz w:val="24"/>
              <w:szCs w:val="24"/>
            </w:rPr>
            <w:fldChar w:fldCharType="end"/>
          </w:r>
        </w:p>
        <w:p w14:paraId="5F2D20F8">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_Toc23093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（一）标准管理</w:t>
          </w:r>
          <w:r>
            <w:rPr>
              <w:sz w:val="24"/>
              <w:szCs w:val="24"/>
            </w:rPr>
            <w:tab/>
          </w:r>
          <w:r>
            <w:rPr>
              <w:sz w:val="24"/>
              <w:szCs w:val="24"/>
            </w:rPr>
            <w:fldChar w:fldCharType="begin"/>
          </w:r>
          <w:r>
            <w:rPr>
              <w:sz w:val="24"/>
              <w:szCs w:val="24"/>
            </w:rPr>
            <w:instrText xml:space="preserve"> PAGEREF _Toc23093 </w:instrText>
          </w:r>
          <w:r>
            <w:rPr>
              <w:sz w:val="24"/>
              <w:szCs w:val="24"/>
            </w:rPr>
            <w:fldChar w:fldCharType="separate"/>
          </w:r>
          <w:r>
            <w:rPr>
              <w:sz w:val="24"/>
              <w:szCs w:val="24"/>
            </w:rPr>
            <w:t>13</w:t>
          </w:r>
          <w:r>
            <w:rPr>
              <w:sz w:val="24"/>
              <w:szCs w:val="24"/>
            </w:rPr>
            <w:fldChar w:fldCharType="end"/>
          </w:r>
          <w:r>
            <w:rPr>
              <w:rFonts w:asciiTheme="minorEastAsia" w:hAnsiTheme="minorEastAsia" w:eastAsiaTheme="minorEastAsia"/>
              <w:color w:val="000000" w:themeColor="text1"/>
              <w:sz w:val="24"/>
              <w:szCs w:val="24"/>
            </w:rPr>
            <w:fldChar w:fldCharType="end"/>
          </w:r>
        </w:p>
        <w:p w14:paraId="5B70A907">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_Toc2897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（二）计量管理</w:t>
          </w:r>
          <w:r>
            <w:rPr>
              <w:sz w:val="24"/>
              <w:szCs w:val="24"/>
            </w:rPr>
            <w:tab/>
          </w:r>
          <w:r>
            <w:rPr>
              <w:sz w:val="24"/>
              <w:szCs w:val="24"/>
            </w:rPr>
            <w:fldChar w:fldCharType="begin"/>
          </w:r>
          <w:r>
            <w:rPr>
              <w:sz w:val="24"/>
              <w:szCs w:val="24"/>
            </w:rPr>
            <w:instrText xml:space="preserve"> PAGEREF _Toc2897 </w:instrText>
          </w:r>
          <w:r>
            <w:rPr>
              <w:sz w:val="24"/>
              <w:szCs w:val="24"/>
            </w:rPr>
            <w:fldChar w:fldCharType="separate"/>
          </w:r>
          <w:r>
            <w:rPr>
              <w:sz w:val="24"/>
              <w:szCs w:val="24"/>
            </w:rPr>
            <w:t>13</w:t>
          </w:r>
          <w:r>
            <w:rPr>
              <w:sz w:val="24"/>
              <w:szCs w:val="24"/>
            </w:rPr>
            <w:fldChar w:fldCharType="end"/>
          </w:r>
          <w:r>
            <w:rPr>
              <w:rFonts w:asciiTheme="minorEastAsia" w:hAnsiTheme="minorEastAsia" w:eastAsiaTheme="minorEastAsia"/>
              <w:color w:val="000000" w:themeColor="text1"/>
              <w:sz w:val="24"/>
              <w:szCs w:val="24"/>
            </w:rPr>
            <w:fldChar w:fldCharType="end"/>
          </w:r>
        </w:p>
        <w:p w14:paraId="5D115EA2">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_Toc1664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（三）认证管理</w:t>
          </w:r>
          <w:r>
            <w:rPr>
              <w:sz w:val="24"/>
              <w:szCs w:val="24"/>
            </w:rPr>
            <w:tab/>
          </w:r>
          <w:r>
            <w:rPr>
              <w:sz w:val="24"/>
              <w:szCs w:val="24"/>
            </w:rPr>
            <w:fldChar w:fldCharType="begin"/>
          </w:r>
          <w:r>
            <w:rPr>
              <w:sz w:val="24"/>
              <w:szCs w:val="24"/>
            </w:rPr>
            <w:instrText xml:space="preserve"> PAGEREF _Toc1664 </w:instrText>
          </w:r>
          <w:r>
            <w:rPr>
              <w:sz w:val="24"/>
              <w:szCs w:val="24"/>
            </w:rPr>
            <w:fldChar w:fldCharType="separate"/>
          </w:r>
          <w:r>
            <w:rPr>
              <w:sz w:val="24"/>
              <w:szCs w:val="24"/>
            </w:rPr>
            <w:t>13</w:t>
          </w:r>
          <w:r>
            <w:rPr>
              <w:sz w:val="24"/>
              <w:szCs w:val="24"/>
            </w:rPr>
            <w:fldChar w:fldCharType="end"/>
          </w:r>
          <w:r>
            <w:rPr>
              <w:rFonts w:asciiTheme="minorEastAsia" w:hAnsiTheme="minorEastAsia" w:eastAsiaTheme="minorEastAsia"/>
              <w:color w:val="000000" w:themeColor="text1"/>
              <w:sz w:val="24"/>
              <w:szCs w:val="24"/>
            </w:rPr>
            <w:fldChar w:fldCharType="end"/>
          </w:r>
        </w:p>
        <w:p w14:paraId="26EC4051">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_Toc30368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（四）检验检测管理</w:t>
          </w:r>
          <w:r>
            <w:rPr>
              <w:sz w:val="24"/>
              <w:szCs w:val="24"/>
            </w:rPr>
            <w:tab/>
          </w:r>
          <w:r>
            <w:rPr>
              <w:sz w:val="24"/>
              <w:szCs w:val="24"/>
            </w:rPr>
            <w:fldChar w:fldCharType="begin"/>
          </w:r>
          <w:r>
            <w:rPr>
              <w:sz w:val="24"/>
              <w:szCs w:val="24"/>
            </w:rPr>
            <w:instrText xml:space="preserve"> PAGEREF _Toc30368 </w:instrText>
          </w:r>
          <w:r>
            <w:rPr>
              <w:sz w:val="24"/>
              <w:szCs w:val="24"/>
            </w:rPr>
            <w:fldChar w:fldCharType="separate"/>
          </w:r>
          <w:r>
            <w:rPr>
              <w:sz w:val="24"/>
              <w:szCs w:val="24"/>
            </w:rPr>
            <w:t>14</w:t>
          </w:r>
          <w:r>
            <w:rPr>
              <w:sz w:val="24"/>
              <w:szCs w:val="24"/>
            </w:rPr>
            <w:fldChar w:fldCharType="end"/>
          </w:r>
          <w:r>
            <w:rPr>
              <w:rFonts w:asciiTheme="minorEastAsia" w:hAnsiTheme="minorEastAsia" w:eastAsiaTheme="minorEastAsia"/>
              <w:color w:val="000000" w:themeColor="text1"/>
              <w:sz w:val="24"/>
              <w:szCs w:val="24"/>
            </w:rPr>
            <w:fldChar w:fldCharType="end"/>
          </w:r>
        </w:p>
        <w:p w14:paraId="0E68F430">
          <w:pPr>
            <w:pStyle w:val="114"/>
            <w:tabs>
              <w:tab w:val="right" w:leader="dot" w:pos="8306"/>
            </w:tabs>
            <w:spacing w:line="360" w:lineRule="auto"/>
            <w:rPr>
              <w:b/>
              <w:sz w:val="24"/>
              <w:szCs w:val="24"/>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_Toc6573 </w:instrText>
          </w:r>
          <w:r>
            <w:rPr>
              <w:rFonts w:asciiTheme="minorEastAsia" w:hAnsiTheme="minorEastAsia" w:eastAsiaTheme="minorEastAsia"/>
              <w:b/>
              <w:sz w:val="24"/>
              <w:szCs w:val="24"/>
            </w:rPr>
            <w:fldChar w:fldCharType="separate"/>
          </w:r>
          <w:r>
            <w:rPr>
              <w:rFonts w:hint="eastAsia" w:cs="仿宋_GB2312" w:asciiTheme="minorEastAsia" w:hAnsiTheme="minorEastAsia" w:eastAsiaTheme="minorEastAsia"/>
              <w:b/>
              <w:sz w:val="24"/>
              <w:szCs w:val="24"/>
            </w:rPr>
            <w:t>六、产品质量责任</w:t>
          </w:r>
          <w:r>
            <w:rPr>
              <w:b/>
              <w:sz w:val="24"/>
              <w:szCs w:val="24"/>
            </w:rPr>
            <w:tab/>
          </w:r>
          <w:r>
            <w:rPr>
              <w:b/>
              <w:sz w:val="24"/>
              <w:szCs w:val="24"/>
            </w:rPr>
            <w:fldChar w:fldCharType="begin"/>
          </w:r>
          <w:r>
            <w:rPr>
              <w:b/>
              <w:sz w:val="24"/>
              <w:szCs w:val="24"/>
            </w:rPr>
            <w:instrText xml:space="preserve"> PAGEREF _Toc6573 </w:instrText>
          </w:r>
          <w:r>
            <w:rPr>
              <w:b/>
              <w:sz w:val="24"/>
              <w:szCs w:val="24"/>
            </w:rPr>
            <w:fldChar w:fldCharType="separate"/>
          </w:r>
          <w:r>
            <w:rPr>
              <w:b/>
              <w:sz w:val="24"/>
              <w:szCs w:val="24"/>
            </w:rPr>
            <w:t>15</w:t>
          </w:r>
          <w:r>
            <w:rPr>
              <w:b/>
              <w:sz w:val="24"/>
              <w:szCs w:val="24"/>
            </w:rPr>
            <w:fldChar w:fldCharType="end"/>
          </w:r>
          <w:r>
            <w:rPr>
              <w:rFonts w:asciiTheme="minorEastAsia" w:hAnsiTheme="minorEastAsia" w:eastAsiaTheme="minorEastAsia"/>
              <w:b/>
              <w:color w:val="000000" w:themeColor="text1"/>
              <w:sz w:val="24"/>
              <w:szCs w:val="24"/>
            </w:rPr>
            <w:fldChar w:fldCharType="end"/>
          </w:r>
        </w:p>
        <w:p w14:paraId="7C35932B">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_Toc19692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（一）产品质量水平</w:t>
          </w:r>
          <w:r>
            <w:rPr>
              <w:sz w:val="24"/>
              <w:szCs w:val="24"/>
            </w:rPr>
            <w:tab/>
          </w:r>
          <w:r>
            <w:rPr>
              <w:sz w:val="24"/>
              <w:szCs w:val="24"/>
            </w:rPr>
            <w:fldChar w:fldCharType="begin"/>
          </w:r>
          <w:r>
            <w:rPr>
              <w:sz w:val="24"/>
              <w:szCs w:val="24"/>
            </w:rPr>
            <w:instrText xml:space="preserve"> PAGEREF _Toc19692 </w:instrText>
          </w:r>
          <w:r>
            <w:rPr>
              <w:sz w:val="24"/>
              <w:szCs w:val="24"/>
            </w:rPr>
            <w:fldChar w:fldCharType="separate"/>
          </w:r>
          <w:r>
            <w:rPr>
              <w:sz w:val="24"/>
              <w:szCs w:val="24"/>
            </w:rPr>
            <w:t>15</w:t>
          </w:r>
          <w:r>
            <w:rPr>
              <w:sz w:val="24"/>
              <w:szCs w:val="24"/>
            </w:rPr>
            <w:fldChar w:fldCharType="end"/>
          </w:r>
          <w:r>
            <w:rPr>
              <w:rFonts w:asciiTheme="minorEastAsia" w:hAnsiTheme="minorEastAsia" w:eastAsiaTheme="minorEastAsia"/>
              <w:color w:val="000000" w:themeColor="text1"/>
              <w:sz w:val="24"/>
              <w:szCs w:val="24"/>
            </w:rPr>
            <w:fldChar w:fldCharType="end"/>
          </w:r>
        </w:p>
        <w:p w14:paraId="039F560A">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_Toc14828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（二）产品售后责任</w:t>
          </w:r>
          <w:r>
            <w:rPr>
              <w:sz w:val="24"/>
              <w:szCs w:val="24"/>
            </w:rPr>
            <w:tab/>
          </w:r>
          <w:r>
            <w:rPr>
              <w:sz w:val="24"/>
              <w:szCs w:val="24"/>
            </w:rPr>
            <w:fldChar w:fldCharType="begin"/>
          </w:r>
          <w:r>
            <w:rPr>
              <w:sz w:val="24"/>
              <w:szCs w:val="24"/>
            </w:rPr>
            <w:instrText xml:space="preserve"> PAGEREF _Toc14828 </w:instrText>
          </w:r>
          <w:r>
            <w:rPr>
              <w:sz w:val="24"/>
              <w:szCs w:val="24"/>
            </w:rPr>
            <w:fldChar w:fldCharType="separate"/>
          </w:r>
          <w:r>
            <w:rPr>
              <w:sz w:val="24"/>
              <w:szCs w:val="24"/>
            </w:rPr>
            <w:t>16</w:t>
          </w:r>
          <w:r>
            <w:rPr>
              <w:sz w:val="24"/>
              <w:szCs w:val="24"/>
            </w:rPr>
            <w:fldChar w:fldCharType="end"/>
          </w:r>
          <w:r>
            <w:rPr>
              <w:rFonts w:asciiTheme="minorEastAsia" w:hAnsiTheme="minorEastAsia" w:eastAsiaTheme="minorEastAsia"/>
              <w:color w:val="000000" w:themeColor="text1"/>
              <w:sz w:val="24"/>
              <w:szCs w:val="24"/>
            </w:rPr>
            <w:fldChar w:fldCharType="end"/>
          </w:r>
        </w:p>
        <w:p w14:paraId="1AEF0B6B">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_Toc2788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（三）企业社会责任</w:t>
          </w:r>
          <w:r>
            <w:rPr>
              <w:sz w:val="24"/>
              <w:szCs w:val="24"/>
            </w:rPr>
            <w:tab/>
          </w:r>
          <w:r>
            <w:rPr>
              <w:sz w:val="24"/>
              <w:szCs w:val="24"/>
            </w:rPr>
            <w:fldChar w:fldCharType="begin"/>
          </w:r>
          <w:r>
            <w:rPr>
              <w:sz w:val="24"/>
              <w:szCs w:val="24"/>
            </w:rPr>
            <w:instrText xml:space="preserve"> PAGEREF _Toc2788 </w:instrText>
          </w:r>
          <w:r>
            <w:rPr>
              <w:sz w:val="24"/>
              <w:szCs w:val="24"/>
            </w:rPr>
            <w:fldChar w:fldCharType="separate"/>
          </w:r>
          <w:r>
            <w:rPr>
              <w:sz w:val="24"/>
              <w:szCs w:val="24"/>
            </w:rPr>
            <w:t>17</w:t>
          </w:r>
          <w:r>
            <w:rPr>
              <w:sz w:val="24"/>
              <w:szCs w:val="24"/>
            </w:rPr>
            <w:fldChar w:fldCharType="end"/>
          </w:r>
          <w:r>
            <w:rPr>
              <w:rFonts w:asciiTheme="minorEastAsia" w:hAnsiTheme="minorEastAsia" w:eastAsiaTheme="minorEastAsia"/>
              <w:color w:val="000000" w:themeColor="text1"/>
              <w:sz w:val="24"/>
              <w:szCs w:val="24"/>
            </w:rPr>
            <w:fldChar w:fldCharType="end"/>
          </w:r>
        </w:p>
        <w:p w14:paraId="2BFC87CE">
          <w:pPr>
            <w:pStyle w:val="115"/>
            <w:tabs>
              <w:tab w:val="right" w:leader="dot" w:pos="8306"/>
            </w:tabs>
            <w:spacing w:line="360" w:lineRule="auto"/>
            <w:rPr>
              <w:sz w:val="24"/>
              <w:szCs w:val="24"/>
            </w:rPr>
          </w:pPr>
          <w:r>
            <w:rPr>
              <w:rFonts w:asciiTheme="minorEastAsia" w:hAnsiTheme="minorEastAsia" w:eastAsiaTheme="minorEastAsia"/>
              <w:color w:val="000000" w:themeColor="text1"/>
              <w:sz w:val="24"/>
              <w:szCs w:val="24"/>
            </w:rPr>
            <w:fldChar w:fldCharType="begin"/>
          </w:r>
          <w:r>
            <w:rPr>
              <w:rFonts w:asciiTheme="minorEastAsia" w:hAnsiTheme="minorEastAsia" w:eastAsiaTheme="minorEastAsia"/>
              <w:sz w:val="24"/>
              <w:szCs w:val="24"/>
            </w:rPr>
            <w:instrText xml:space="preserve"> HYPERLINK \l _Toc2948 </w:instrText>
          </w:r>
          <w:r>
            <w:rPr>
              <w:rFonts w:asciiTheme="minorEastAsia" w:hAnsiTheme="minorEastAsia" w:eastAsiaTheme="minorEastAsia"/>
              <w:sz w:val="24"/>
              <w:szCs w:val="24"/>
            </w:rPr>
            <w:fldChar w:fldCharType="separate"/>
          </w:r>
          <w:r>
            <w:rPr>
              <w:rFonts w:hint="eastAsia" w:cs="仿宋_GB2312" w:asciiTheme="minorEastAsia" w:hAnsiTheme="minorEastAsia" w:eastAsiaTheme="minorEastAsia"/>
              <w:bCs/>
              <w:sz w:val="24"/>
              <w:szCs w:val="24"/>
            </w:rPr>
            <w:t>（四）质量信用记录</w:t>
          </w:r>
          <w:r>
            <w:rPr>
              <w:sz w:val="24"/>
              <w:szCs w:val="24"/>
            </w:rPr>
            <w:tab/>
          </w:r>
          <w:r>
            <w:rPr>
              <w:sz w:val="24"/>
              <w:szCs w:val="24"/>
            </w:rPr>
            <w:fldChar w:fldCharType="begin"/>
          </w:r>
          <w:r>
            <w:rPr>
              <w:sz w:val="24"/>
              <w:szCs w:val="24"/>
            </w:rPr>
            <w:instrText xml:space="preserve"> PAGEREF _Toc2948 </w:instrText>
          </w:r>
          <w:r>
            <w:rPr>
              <w:sz w:val="24"/>
              <w:szCs w:val="24"/>
            </w:rPr>
            <w:fldChar w:fldCharType="separate"/>
          </w:r>
          <w:r>
            <w:rPr>
              <w:sz w:val="24"/>
              <w:szCs w:val="24"/>
            </w:rPr>
            <w:t>19</w:t>
          </w:r>
          <w:r>
            <w:rPr>
              <w:sz w:val="24"/>
              <w:szCs w:val="24"/>
            </w:rPr>
            <w:fldChar w:fldCharType="end"/>
          </w:r>
          <w:r>
            <w:rPr>
              <w:rFonts w:asciiTheme="minorEastAsia" w:hAnsiTheme="minorEastAsia" w:eastAsiaTheme="minorEastAsia"/>
              <w:color w:val="000000" w:themeColor="text1"/>
              <w:sz w:val="24"/>
              <w:szCs w:val="24"/>
            </w:rPr>
            <w:fldChar w:fldCharType="end"/>
          </w:r>
        </w:p>
        <w:p w14:paraId="6C251AC6">
          <w:pPr>
            <w:pStyle w:val="114"/>
            <w:tabs>
              <w:tab w:val="right" w:leader="dot" w:pos="8306"/>
            </w:tabs>
            <w:spacing w:line="360" w:lineRule="auto"/>
            <w:rPr>
              <w:b/>
            </w:rPr>
          </w:pPr>
          <w:r>
            <w:rPr>
              <w:rFonts w:asciiTheme="minorEastAsia" w:hAnsiTheme="minorEastAsia" w:eastAsiaTheme="minorEastAsia"/>
              <w:b/>
              <w:color w:val="000000" w:themeColor="text1"/>
              <w:sz w:val="24"/>
              <w:szCs w:val="24"/>
            </w:rPr>
            <w:fldChar w:fldCharType="begin"/>
          </w:r>
          <w:r>
            <w:rPr>
              <w:rFonts w:asciiTheme="minorEastAsia" w:hAnsiTheme="minorEastAsia" w:eastAsiaTheme="minorEastAsia"/>
              <w:b/>
              <w:sz w:val="24"/>
              <w:szCs w:val="24"/>
            </w:rPr>
            <w:instrText xml:space="preserve"> HYPERLINK \l _Toc15550 </w:instrText>
          </w:r>
          <w:r>
            <w:rPr>
              <w:rFonts w:asciiTheme="minorEastAsia" w:hAnsiTheme="minorEastAsia" w:eastAsiaTheme="minorEastAsia"/>
              <w:b/>
              <w:sz w:val="24"/>
              <w:szCs w:val="24"/>
            </w:rPr>
            <w:fldChar w:fldCharType="separate"/>
          </w:r>
          <w:r>
            <w:rPr>
              <w:rFonts w:hint="eastAsia" w:cs="宋体" w:asciiTheme="minorEastAsia" w:hAnsiTheme="minorEastAsia" w:eastAsiaTheme="minorEastAsia"/>
              <w:b/>
              <w:bCs/>
              <w:kern w:val="32"/>
              <w:sz w:val="24"/>
              <w:szCs w:val="24"/>
            </w:rPr>
            <w:t>报告结语</w:t>
          </w:r>
          <w:r>
            <w:rPr>
              <w:b/>
              <w:sz w:val="24"/>
              <w:szCs w:val="24"/>
            </w:rPr>
            <w:tab/>
          </w:r>
          <w:r>
            <w:rPr>
              <w:b/>
              <w:sz w:val="24"/>
              <w:szCs w:val="24"/>
            </w:rPr>
            <w:fldChar w:fldCharType="begin"/>
          </w:r>
          <w:r>
            <w:rPr>
              <w:b/>
              <w:sz w:val="24"/>
              <w:szCs w:val="24"/>
            </w:rPr>
            <w:instrText xml:space="preserve"> PAGEREF _Toc15550 </w:instrText>
          </w:r>
          <w:r>
            <w:rPr>
              <w:b/>
              <w:sz w:val="24"/>
              <w:szCs w:val="24"/>
            </w:rPr>
            <w:fldChar w:fldCharType="separate"/>
          </w:r>
          <w:r>
            <w:rPr>
              <w:b/>
              <w:sz w:val="24"/>
              <w:szCs w:val="24"/>
            </w:rPr>
            <w:t>20</w:t>
          </w:r>
          <w:r>
            <w:rPr>
              <w:b/>
              <w:sz w:val="24"/>
              <w:szCs w:val="24"/>
            </w:rPr>
            <w:fldChar w:fldCharType="end"/>
          </w:r>
          <w:r>
            <w:rPr>
              <w:rFonts w:asciiTheme="minorEastAsia" w:hAnsiTheme="minorEastAsia" w:eastAsiaTheme="minorEastAsia"/>
              <w:b/>
              <w:color w:val="000000" w:themeColor="text1"/>
              <w:sz w:val="24"/>
              <w:szCs w:val="24"/>
            </w:rPr>
            <w:fldChar w:fldCharType="end"/>
          </w:r>
        </w:p>
        <w:p w14:paraId="4CDF0D5C">
          <w:pPr>
            <w:pStyle w:val="18"/>
            <w:tabs>
              <w:tab w:val="right" w:leader="dot" w:pos="8296"/>
            </w:tabs>
            <w:spacing w:before="78" w:after="78" w:line="276" w:lineRule="auto"/>
            <w:rPr>
              <w:rFonts w:asciiTheme="minorEastAsia" w:hAnsiTheme="minorEastAsia" w:eastAsiaTheme="minorEastAsia"/>
              <w:color w:val="000000" w:themeColor="text1"/>
              <w:sz w:val="28"/>
              <w:szCs w:val="28"/>
            </w:rPr>
          </w:pPr>
          <w:r>
            <w:rPr>
              <w:rFonts w:asciiTheme="minorEastAsia" w:hAnsiTheme="minorEastAsia" w:eastAsiaTheme="minorEastAsia"/>
              <w:b/>
              <w:color w:val="000000" w:themeColor="text1"/>
              <w:szCs w:val="28"/>
            </w:rPr>
            <w:fldChar w:fldCharType="end"/>
          </w:r>
        </w:p>
      </w:sdtContent>
    </w:sdt>
    <w:p w14:paraId="2A3E7817">
      <w:pPr>
        <w:rPr>
          <w:rFonts w:cs="宋体" w:asciiTheme="minorEastAsia" w:hAnsiTheme="minorEastAsia" w:eastAsiaTheme="minorEastAsia"/>
          <w:b/>
          <w:bCs/>
          <w:color w:val="000000" w:themeColor="text1"/>
          <w:kern w:val="32"/>
          <w:sz w:val="44"/>
          <w:szCs w:val="44"/>
        </w:rPr>
      </w:pPr>
      <w:r>
        <w:rPr>
          <w:rFonts w:cs="宋体" w:asciiTheme="minorEastAsia" w:hAnsiTheme="minorEastAsia" w:eastAsiaTheme="minorEastAsia"/>
          <w:b/>
          <w:bCs/>
          <w:color w:val="000000" w:themeColor="text1"/>
          <w:kern w:val="32"/>
          <w:sz w:val="44"/>
          <w:szCs w:val="44"/>
        </w:rPr>
        <w:br w:type="page"/>
      </w:r>
    </w:p>
    <w:p w14:paraId="15D25E83">
      <w:pPr>
        <w:pStyle w:val="22"/>
      </w:pPr>
    </w:p>
    <w:p w14:paraId="73CE272D">
      <w:pPr>
        <w:keepNext/>
        <w:keepLines/>
        <w:spacing w:line="276" w:lineRule="auto"/>
        <w:jc w:val="center"/>
        <w:outlineLvl w:val="0"/>
        <w:rPr>
          <w:rFonts w:cs="宋体" w:asciiTheme="minorEastAsia" w:hAnsiTheme="minorEastAsia" w:eastAsiaTheme="minorEastAsia"/>
          <w:b/>
          <w:bCs/>
          <w:color w:val="000000" w:themeColor="text1"/>
          <w:kern w:val="32"/>
          <w:sz w:val="44"/>
          <w:szCs w:val="44"/>
        </w:rPr>
      </w:pPr>
      <w:bookmarkStart w:id="0" w:name="_Toc20185"/>
      <w:bookmarkStart w:id="1" w:name="_Toc451594564"/>
      <w:r>
        <w:rPr>
          <w:rFonts w:hint="eastAsia" w:cs="宋体" w:asciiTheme="minorEastAsia" w:hAnsiTheme="minorEastAsia" w:eastAsiaTheme="minorEastAsia"/>
          <w:b/>
          <w:bCs/>
          <w:color w:val="000000" w:themeColor="text1"/>
          <w:kern w:val="32"/>
          <w:sz w:val="44"/>
          <w:szCs w:val="44"/>
        </w:rPr>
        <w:t>前  言</w:t>
      </w:r>
      <w:bookmarkEnd w:id="0"/>
      <w:bookmarkEnd w:id="1"/>
    </w:p>
    <w:p w14:paraId="1E663A42">
      <w:pPr>
        <w:keepNext/>
        <w:keepLines/>
        <w:spacing w:line="276" w:lineRule="auto"/>
        <w:outlineLvl w:val="9"/>
        <w:rPr>
          <w:rFonts w:asciiTheme="minorEastAsia" w:hAnsiTheme="minorEastAsia" w:eastAsiaTheme="minorEastAsia"/>
          <w:b/>
          <w:bCs/>
          <w:color w:val="000000" w:themeColor="text1"/>
          <w:kern w:val="32"/>
          <w:sz w:val="44"/>
          <w:szCs w:val="44"/>
        </w:rPr>
      </w:pPr>
    </w:p>
    <w:p w14:paraId="5723A221">
      <w:pPr>
        <w:keepNext/>
        <w:keepLines/>
        <w:spacing w:line="276" w:lineRule="auto"/>
        <w:outlineLvl w:val="9"/>
        <w:rPr>
          <w:rFonts w:asciiTheme="minorEastAsia" w:hAnsiTheme="minorEastAsia" w:eastAsiaTheme="minorEastAsia"/>
          <w:b/>
          <w:bCs/>
          <w:color w:val="000000" w:themeColor="text1"/>
          <w:kern w:val="32"/>
          <w:sz w:val="44"/>
          <w:szCs w:val="44"/>
        </w:rPr>
      </w:pPr>
    </w:p>
    <w:p w14:paraId="5AA4B297">
      <w:pPr>
        <w:ind w:firstLine="700" w:firstLineChars="250"/>
        <w:rPr>
          <w:rFonts w:cs="宋体" w:asciiTheme="minorEastAsia" w:hAnsiTheme="minorEastAsia" w:eastAsiaTheme="minorEastAsia"/>
          <w:color w:val="000000" w:themeColor="text1"/>
          <w:sz w:val="28"/>
          <w:szCs w:val="28"/>
        </w:rPr>
      </w:pPr>
      <w:r>
        <w:rPr>
          <w:rFonts w:hint="eastAsia" w:cs="宋体" w:asciiTheme="minorEastAsia" w:hAnsiTheme="minorEastAsia" w:eastAsiaTheme="minorEastAsia"/>
          <w:color w:val="000000" w:themeColor="text1"/>
          <w:sz w:val="28"/>
          <w:szCs w:val="28"/>
        </w:rPr>
        <w:t>本公司出具的质量诚信报告，是依据国家有关质量法律法规、规章及相关行业质量标准、规范等进行编制。报告中关于公司质量诚信和质量管理情况是公司现状的真实反映，本公司对报告内容的客观性负责，对相关论述和结论真实性和科学性负责。</w:t>
      </w:r>
    </w:p>
    <w:p w14:paraId="7A9CB657">
      <w:pPr>
        <w:outlineLvl w:val="1"/>
        <w:rPr>
          <w:rFonts w:asciiTheme="minorEastAsia" w:hAnsiTheme="minorEastAsia" w:eastAsiaTheme="minorEastAsia"/>
          <w:b/>
          <w:bCs/>
          <w:color w:val="000000" w:themeColor="text1"/>
          <w:sz w:val="28"/>
          <w:szCs w:val="28"/>
        </w:rPr>
      </w:pPr>
      <w:bookmarkStart w:id="2" w:name="_Toc19336"/>
      <w:r>
        <w:rPr>
          <w:rFonts w:hint="eastAsia" w:cs="宋体" w:asciiTheme="minorEastAsia" w:hAnsiTheme="minorEastAsia" w:eastAsiaTheme="minorEastAsia"/>
          <w:b/>
          <w:bCs/>
          <w:color w:val="000000" w:themeColor="text1"/>
          <w:sz w:val="28"/>
          <w:szCs w:val="28"/>
        </w:rPr>
        <w:t>报告范围：</w:t>
      </w:r>
      <w:bookmarkEnd w:id="2"/>
    </w:p>
    <w:p w14:paraId="4BC9A857">
      <w:pPr>
        <w:ind w:firstLine="680" w:firstLineChars="250"/>
        <w:rPr>
          <w:rFonts w:asciiTheme="minorEastAsia" w:hAnsiTheme="minorEastAsia" w:eastAsiaTheme="minorEastAsia"/>
          <w:color w:val="000000" w:themeColor="text1"/>
          <w:sz w:val="28"/>
          <w:szCs w:val="28"/>
        </w:rPr>
      </w:pPr>
      <w:r>
        <w:rPr>
          <w:rFonts w:hint="eastAsia" w:cs="宋体" w:asciiTheme="minorEastAsia" w:hAnsiTheme="minorEastAsia" w:eastAsiaTheme="minorEastAsia"/>
          <w:color w:val="000000" w:themeColor="text1"/>
          <w:spacing w:val="-4"/>
          <w:sz w:val="28"/>
          <w:szCs w:val="28"/>
        </w:rPr>
        <w:t>本报告的组织范围为</w:t>
      </w:r>
      <w:r>
        <w:rPr>
          <w:rFonts w:hint="eastAsia" w:cs="宋体" w:asciiTheme="minorEastAsia" w:hAnsiTheme="minorEastAsia" w:eastAsiaTheme="minorEastAsia"/>
          <w:color w:val="000000" w:themeColor="text1"/>
          <w:spacing w:val="-4"/>
          <w:sz w:val="28"/>
          <w:szCs w:val="28"/>
          <w:lang w:eastAsia="zh-CN"/>
        </w:rPr>
        <w:t>浙江华普电缆有限公司</w:t>
      </w:r>
      <w:r>
        <w:rPr>
          <w:rFonts w:hint="eastAsia" w:cs="宋体" w:asciiTheme="minorEastAsia" w:hAnsiTheme="minorEastAsia" w:eastAsiaTheme="minorEastAsia"/>
          <w:color w:val="000000" w:themeColor="text1"/>
          <w:sz w:val="28"/>
          <w:szCs w:val="28"/>
        </w:rPr>
        <w:t>。</w:t>
      </w:r>
      <w:r>
        <w:rPr>
          <w:rFonts w:hint="eastAsia" w:cs="宋体" w:asciiTheme="minorEastAsia" w:hAnsiTheme="minorEastAsia" w:eastAsiaTheme="minorEastAsia"/>
          <w:color w:val="000000" w:themeColor="text1"/>
          <w:spacing w:val="-12"/>
          <w:sz w:val="28"/>
          <w:szCs w:val="28"/>
        </w:rPr>
        <w:t>本报告描述了</w:t>
      </w:r>
      <w:r>
        <w:rPr>
          <w:rFonts w:asciiTheme="minorEastAsia" w:hAnsiTheme="minorEastAsia" w:eastAsiaTheme="minorEastAsia"/>
          <w:color w:val="000000" w:themeColor="text1"/>
          <w:spacing w:val="-12"/>
          <w:sz w:val="28"/>
          <w:szCs w:val="28"/>
        </w:rPr>
        <w:t>20</w:t>
      </w:r>
      <w:r>
        <w:rPr>
          <w:rFonts w:hint="eastAsia" w:asciiTheme="minorEastAsia" w:hAnsiTheme="minorEastAsia" w:eastAsiaTheme="minorEastAsia"/>
          <w:color w:val="000000" w:themeColor="text1"/>
          <w:spacing w:val="-12"/>
          <w:sz w:val="28"/>
          <w:szCs w:val="28"/>
          <w:lang w:val="en-US" w:eastAsia="zh-CN"/>
        </w:rPr>
        <w:t>25</w:t>
      </w:r>
      <w:r>
        <w:rPr>
          <w:rFonts w:hint="eastAsia" w:cs="宋体" w:asciiTheme="minorEastAsia" w:hAnsiTheme="minorEastAsia" w:eastAsiaTheme="minorEastAsia"/>
          <w:color w:val="000000" w:themeColor="text1"/>
          <w:spacing w:val="-12"/>
          <w:sz w:val="28"/>
          <w:szCs w:val="28"/>
        </w:rPr>
        <w:t>年</w:t>
      </w:r>
      <w:r>
        <w:rPr>
          <w:rFonts w:hint="eastAsia" w:asciiTheme="minorEastAsia" w:hAnsiTheme="minorEastAsia" w:eastAsiaTheme="minorEastAsia"/>
          <w:color w:val="000000" w:themeColor="text1"/>
          <w:spacing w:val="-12"/>
          <w:sz w:val="28"/>
          <w:szCs w:val="28"/>
        </w:rPr>
        <w:t>1</w:t>
      </w:r>
      <w:r>
        <w:rPr>
          <w:rFonts w:hint="eastAsia" w:cs="宋体" w:asciiTheme="minorEastAsia" w:hAnsiTheme="minorEastAsia" w:eastAsiaTheme="minorEastAsia"/>
          <w:color w:val="000000" w:themeColor="text1"/>
          <w:spacing w:val="-12"/>
          <w:sz w:val="28"/>
          <w:szCs w:val="28"/>
        </w:rPr>
        <w:t>月</w:t>
      </w:r>
      <w:r>
        <w:rPr>
          <w:rFonts w:asciiTheme="minorEastAsia" w:hAnsiTheme="minorEastAsia" w:eastAsiaTheme="minorEastAsia"/>
          <w:color w:val="000000" w:themeColor="text1"/>
          <w:spacing w:val="-12"/>
          <w:sz w:val="28"/>
          <w:szCs w:val="28"/>
        </w:rPr>
        <w:t>1</w:t>
      </w:r>
      <w:r>
        <w:rPr>
          <w:rFonts w:hint="eastAsia" w:cs="宋体" w:asciiTheme="minorEastAsia" w:hAnsiTheme="minorEastAsia" w:eastAsiaTheme="minorEastAsia"/>
          <w:color w:val="000000" w:themeColor="text1"/>
          <w:spacing w:val="-12"/>
          <w:sz w:val="28"/>
          <w:szCs w:val="28"/>
        </w:rPr>
        <w:t>日</w:t>
      </w:r>
      <w:r>
        <w:rPr>
          <w:rFonts w:hint="eastAsia" w:cs="宋体" w:asciiTheme="minorEastAsia" w:hAnsiTheme="minorEastAsia" w:eastAsiaTheme="minorEastAsia"/>
          <w:color w:val="000000" w:themeColor="text1"/>
          <w:sz w:val="28"/>
          <w:szCs w:val="28"/>
        </w:rPr>
        <w:t>至</w:t>
      </w:r>
      <w:r>
        <w:rPr>
          <w:rFonts w:asciiTheme="minorEastAsia" w:hAnsiTheme="minorEastAsia" w:eastAsiaTheme="minorEastAsia"/>
          <w:color w:val="000000" w:themeColor="text1"/>
          <w:sz w:val="28"/>
          <w:szCs w:val="28"/>
        </w:rPr>
        <w:t>20</w:t>
      </w:r>
      <w:r>
        <w:rPr>
          <w:rFonts w:hint="eastAsia" w:asciiTheme="minorEastAsia" w:hAnsiTheme="minorEastAsia" w:eastAsiaTheme="minorEastAsia"/>
          <w:color w:val="000000" w:themeColor="text1"/>
          <w:sz w:val="28"/>
          <w:szCs w:val="28"/>
          <w:lang w:val="en-US" w:eastAsia="zh-CN"/>
        </w:rPr>
        <w:t>25</w:t>
      </w:r>
      <w:r>
        <w:rPr>
          <w:rFonts w:hint="eastAsia" w:cs="宋体" w:asciiTheme="minorEastAsia" w:hAnsiTheme="minorEastAsia" w:eastAsiaTheme="minorEastAsia"/>
          <w:color w:val="000000" w:themeColor="text1"/>
          <w:sz w:val="28"/>
          <w:szCs w:val="28"/>
        </w:rPr>
        <w:t>年</w:t>
      </w:r>
      <w:r>
        <w:rPr>
          <w:rFonts w:asciiTheme="minorEastAsia" w:hAnsiTheme="minorEastAsia" w:eastAsiaTheme="minorEastAsia"/>
          <w:color w:val="000000" w:themeColor="text1"/>
          <w:sz w:val="28"/>
          <w:szCs w:val="28"/>
        </w:rPr>
        <w:t>1</w:t>
      </w:r>
      <w:r>
        <w:rPr>
          <w:rFonts w:hint="eastAsia" w:asciiTheme="minorEastAsia" w:hAnsiTheme="minorEastAsia" w:eastAsiaTheme="minorEastAsia"/>
          <w:color w:val="000000" w:themeColor="text1"/>
          <w:sz w:val="28"/>
          <w:szCs w:val="28"/>
        </w:rPr>
        <w:t>2</w:t>
      </w:r>
      <w:r>
        <w:rPr>
          <w:rFonts w:hint="eastAsia" w:cs="宋体" w:asciiTheme="minorEastAsia" w:hAnsiTheme="minorEastAsia" w:eastAsiaTheme="minorEastAsia"/>
          <w:color w:val="000000" w:themeColor="text1"/>
          <w:sz w:val="28"/>
          <w:szCs w:val="28"/>
        </w:rPr>
        <w:t>月</w:t>
      </w:r>
      <w:r>
        <w:rPr>
          <w:rFonts w:asciiTheme="minorEastAsia" w:hAnsiTheme="minorEastAsia" w:eastAsiaTheme="minorEastAsia"/>
          <w:color w:val="000000" w:themeColor="text1"/>
          <w:sz w:val="28"/>
          <w:szCs w:val="28"/>
        </w:rPr>
        <w:t>31</w:t>
      </w:r>
      <w:r>
        <w:rPr>
          <w:rFonts w:hint="eastAsia" w:cs="宋体" w:asciiTheme="minorEastAsia" w:hAnsiTheme="minorEastAsia" w:eastAsiaTheme="minorEastAsia"/>
          <w:color w:val="000000" w:themeColor="text1"/>
          <w:sz w:val="28"/>
          <w:szCs w:val="28"/>
        </w:rPr>
        <w:t>日期间，公司</w:t>
      </w:r>
      <w:r>
        <w:rPr>
          <w:rFonts w:hint="eastAsia" w:cs="宋体" w:asciiTheme="minorEastAsia" w:hAnsiTheme="minorEastAsia" w:eastAsiaTheme="minorEastAsia"/>
          <w:color w:val="000000" w:themeColor="text1"/>
          <w:spacing w:val="-10"/>
          <w:sz w:val="28"/>
          <w:szCs w:val="28"/>
        </w:rPr>
        <w:t>在质量管理、产品质量责任、质量诚信管</w:t>
      </w:r>
      <w:r>
        <w:rPr>
          <w:rFonts w:hint="eastAsia" w:cs="宋体" w:asciiTheme="minorEastAsia" w:hAnsiTheme="minorEastAsia" w:eastAsiaTheme="minorEastAsia"/>
          <w:color w:val="000000" w:themeColor="text1"/>
          <w:sz w:val="28"/>
          <w:szCs w:val="28"/>
        </w:rPr>
        <w:t>理等方面的理念、制度、采取的措施和取得的绩效等。</w:t>
      </w:r>
    </w:p>
    <w:p w14:paraId="33BF69BA">
      <w:pPr>
        <w:outlineLvl w:val="1"/>
        <w:rPr>
          <w:rFonts w:asciiTheme="minorEastAsia" w:hAnsiTheme="minorEastAsia" w:eastAsiaTheme="minorEastAsia"/>
          <w:b/>
          <w:bCs/>
          <w:color w:val="000000" w:themeColor="text1"/>
          <w:sz w:val="28"/>
          <w:szCs w:val="28"/>
        </w:rPr>
      </w:pPr>
      <w:bookmarkStart w:id="3" w:name="_Toc14811"/>
      <w:r>
        <w:rPr>
          <w:rFonts w:hint="eastAsia" w:cs="宋体" w:asciiTheme="minorEastAsia" w:hAnsiTheme="minorEastAsia" w:eastAsiaTheme="minorEastAsia"/>
          <w:b/>
          <w:bCs/>
          <w:color w:val="000000" w:themeColor="text1"/>
          <w:sz w:val="28"/>
          <w:szCs w:val="28"/>
        </w:rPr>
        <w:t>报告发布形式：</w:t>
      </w:r>
      <w:bookmarkEnd w:id="3"/>
    </w:p>
    <w:p w14:paraId="2920F67A">
      <w:pPr>
        <w:ind w:firstLine="700" w:firstLineChars="250"/>
        <w:rPr>
          <w:rFonts w:asciiTheme="minorEastAsia" w:hAnsiTheme="minorEastAsia" w:eastAsiaTheme="minorEastAsia"/>
          <w:color w:val="000000" w:themeColor="text1"/>
          <w:sz w:val="28"/>
          <w:szCs w:val="28"/>
        </w:rPr>
      </w:pPr>
      <w:r>
        <w:rPr>
          <w:rFonts w:hint="eastAsia" w:cs="宋体" w:asciiTheme="minorEastAsia" w:hAnsiTheme="minorEastAsia" w:eastAsiaTheme="minorEastAsia"/>
          <w:color w:val="000000" w:themeColor="text1"/>
          <w:sz w:val="28"/>
          <w:szCs w:val="28"/>
        </w:rPr>
        <w:t>本公司每年定期发布一次质量信用报告，本报告以</w:t>
      </w:r>
      <w:r>
        <w:rPr>
          <w:rFonts w:asciiTheme="minorEastAsia" w:hAnsiTheme="minorEastAsia" w:eastAsiaTheme="minorEastAsia"/>
          <w:color w:val="000000" w:themeColor="text1"/>
          <w:sz w:val="28"/>
          <w:szCs w:val="28"/>
        </w:rPr>
        <w:t>PDF</w:t>
      </w:r>
      <w:r>
        <w:rPr>
          <w:rFonts w:hint="eastAsia" w:cs="宋体" w:asciiTheme="minorEastAsia" w:hAnsiTheme="minorEastAsia" w:eastAsiaTheme="minorEastAsia"/>
          <w:color w:val="000000" w:themeColor="text1"/>
          <w:sz w:val="28"/>
          <w:szCs w:val="28"/>
        </w:rPr>
        <w:t>电子文档形式在公司</w:t>
      </w:r>
      <w:r>
        <w:rPr>
          <w:rFonts w:ascii="宋体" w:hAnsi="宋体" w:eastAsia="宋体" w:cs="宋体"/>
          <w:sz w:val="24"/>
          <w:szCs w:val="24"/>
        </w:rPr>
        <w:fldChar w:fldCharType="begin"/>
      </w:r>
      <w:r>
        <w:rPr>
          <w:rFonts w:ascii="宋体" w:hAnsi="宋体" w:eastAsia="宋体" w:cs="宋体"/>
          <w:sz w:val="24"/>
          <w:szCs w:val="24"/>
        </w:rPr>
        <w:instrText xml:space="preserve"> HYPERLINK "http://www.zjhpdl.com/" </w:instrText>
      </w:r>
      <w:r>
        <w:rPr>
          <w:rFonts w:ascii="宋体" w:hAnsi="宋体" w:eastAsia="宋体" w:cs="宋体"/>
          <w:sz w:val="24"/>
          <w:szCs w:val="24"/>
        </w:rPr>
        <w:fldChar w:fldCharType="separate"/>
      </w:r>
      <w:r>
        <w:rPr>
          <w:rStyle w:val="27"/>
          <w:rFonts w:ascii="宋体" w:hAnsi="宋体" w:eastAsia="宋体" w:cs="宋体"/>
          <w:sz w:val="24"/>
          <w:szCs w:val="24"/>
        </w:rPr>
        <w:t>http://www.zjhpdl.com/</w:t>
      </w:r>
      <w:r>
        <w:rPr>
          <w:rFonts w:ascii="宋体" w:hAnsi="宋体" w:eastAsia="宋体" w:cs="宋体"/>
          <w:sz w:val="24"/>
          <w:szCs w:val="24"/>
        </w:rPr>
        <w:fldChar w:fldCharType="end"/>
      </w:r>
      <w:r>
        <w:rPr>
          <w:rFonts w:hint="eastAsia" w:cs="宋体" w:asciiTheme="minorEastAsia" w:hAnsiTheme="minorEastAsia" w:eastAsiaTheme="minorEastAsia"/>
          <w:color w:val="000000" w:themeColor="text1"/>
          <w:sz w:val="28"/>
          <w:szCs w:val="28"/>
        </w:rPr>
        <w:t>网站向社会公布，</w:t>
      </w:r>
      <w:r>
        <w:rPr>
          <w:rFonts w:hint="eastAsia" w:cs="宋体" w:asciiTheme="minorEastAsia" w:hAnsiTheme="minorEastAsia" w:eastAsiaTheme="minorEastAsia"/>
          <w:color w:val="000000" w:themeColor="text1"/>
          <w:spacing w:val="-12"/>
          <w:sz w:val="28"/>
          <w:szCs w:val="28"/>
        </w:rPr>
        <w:t>欢迎下载</w:t>
      </w:r>
      <w:r>
        <w:rPr>
          <w:rFonts w:hint="eastAsia" w:cs="宋体" w:asciiTheme="minorEastAsia" w:hAnsiTheme="minorEastAsia" w:eastAsiaTheme="minorEastAsia"/>
          <w:color w:val="000000" w:themeColor="text1"/>
          <w:sz w:val="28"/>
          <w:szCs w:val="28"/>
        </w:rPr>
        <w:t>阅读并提出宝贵意见。</w:t>
      </w:r>
    </w:p>
    <w:p w14:paraId="29BF8741">
      <w:pPr>
        <w:spacing w:line="276" w:lineRule="auto"/>
        <w:ind w:firstLine="560" w:firstLineChars="200"/>
        <w:rPr>
          <w:rFonts w:asciiTheme="minorEastAsia" w:hAnsiTheme="minorEastAsia" w:eastAsiaTheme="minorEastAsia"/>
          <w:color w:val="000000" w:themeColor="text1"/>
          <w:sz w:val="28"/>
          <w:szCs w:val="28"/>
        </w:rPr>
      </w:pPr>
    </w:p>
    <w:p w14:paraId="1ACEE836">
      <w:pPr>
        <w:widowControl/>
        <w:spacing w:line="276" w:lineRule="auto"/>
        <w:jc w:val="left"/>
        <w:rPr>
          <w:rFonts w:asciiTheme="minorEastAsia" w:hAnsiTheme="minorEastAsia" w:eastAsiaTheme="minorEastAsia"/>
          <w:color w:val="000000" w:themeColor="text1"/>
          <w:sz w:val="28"/>
          <w:szCs w:val="28"/>
        </w:rPr>
      </w:pPr>
    </w:p>
    <w:p w14:paraId="136E35F6">
      <w:pPr>
        <w:widowControl/>
        <w:spacing w:line="276" w:lineRule="auto"/>
        <w:jc w:val="left"/>
        <w:rPr>
          <w:rFonts w:asciiTheme="minorEastAsia" w:hAnsiTheme="minorEastAsia" w:eastAsiaTheme="minorEastAsia"/>
          <w:color w:val="000000" w:themeColor="text1"/>
          <w:sz w:val="36"/>
          <w:szCs w:val="36"/>
        </w:rPr>
      </w:pPr>
    </w:p>
    <w:p w14:paraId="0BF16801">
      <w:pPr>
        <w:widowControl/>
        <w:spacing w:line="276" w:lineRule="auto"/>
        <w:jc w:val="left"/>
        <w:rPr>
          <w:rFonts w:asciiTheme="minorEastAsia" w:hAnsiTheme="minorEastAsia" w:eastAsiaTheme="minorEastAsia"/>
          <w:color w:val="000000" w:themeColor="text1"/>
          <w:sz w:val="36"/>
          <w:szCs w:val="36"/>
        </w:rPr>
      </w:pPr>
    </w:p>
    <w:p w14:paraId="653494DA">
      <w:pPr>
        <w:widowControl/>
        <w:spacing w:line="276" w:lineRule="auto"/>
        <w:jc w:val="left"/>
        <w:rPr>
          <w:rFonts w:asciiTheme="minorEastAsia" w:hAnsiTheme="minorEastAsia" w:eastAsiaTheme="minorEastAsia"/>
          <w:color w:val="000000" w:themeColor="text1"/>
          <w:sz w:val="28"/>
          <w:szCs w:val="28"/>
        </w:rPr>
      </w:pPr>
    </w:p>
    <w:p w14:paraId="27170447">
      <w:pPr>
        <w:ind w:right="-58"/>
        <w:jc w:val="center"/>
        <w:rPr>
          <w:rFonts w:asciiTheme="minorEastAsia" w:hAnsiTheme="minorEastAsia" w:eastAsiaTheme="minorEastAsia"/>
          <w:b/>
          <w:color w:val="000000" w:themeColor="text1"/>
          <w:sz w:val="36"/>
          <w:szCs w:val="36"/>
        </w:rPr>
      </w:pPr>
    </w:p>
    <w:p w14:paraId="117A5743">
      <w:pPr>
        <w:ind w:right="-58"/>
        <w:jc w:val="center"/>
        <w:rPr>
          <w:rFonts w:asciiTheme="minorEastAsia" w:hAnsiTheme="minorEastAsia" w:eastAsiaTheme="minorEastAsia"/>
          <w:b/>
          <w:color w:val="000000" w:themeColor="text1"/>
          <w:sz w:val="36"/>
          <w:szCs w:val="36"/>
        </w:rPr>
      </w:pPr>
    </w:p>
    <w:p w14:paraId="5A2DDCA7">
      <w:pPr>
        <w:ind w:right="-58"/>
        <w:jc w:val="center"/>
        <w:rPr>
          <w:rFonts w:asciiTheme="minorEastAsia" w:hAnsiTheme="minorEastAsia" w:eastAsiaTheme="minorEastAsia"/>
          <w:b/>
          <w:color w:val="000000" w:themeColor="text1"/>
          <w:sz w:val="36"/>
          <w:szCs w:val="36"/>
        </w:rPr>
      </w:pPr>
    </w:p>
    <w:p w14:paraId="6312612D">
      <w:pPr>
        <w:ind w:right="-58"/>
        <w:jc w:val="center"/>
        <w:outlineLvl w:val="1"/>
        <w:rPr>
          <w:rFonts w:asciiTheme="minorEastAsia" w:hAnsiTheme="minorEastAsia" w:eastAsiaTheme="minorEastAsia"/>
          <w:b/>
          <w:color w:val="000000" w:themeColor="text1"/>
          <w:sz w:val="36"/>
          <w:szCs w:val="36"/>
        </w:rPr>
      </w:pPr>
      <w:bookmarkStart w:id="4" w:name="_Toc5487"/>
      <w:r>
        <w:rPr>
          <w:rFonts w:asciiTheme="minorEastAsia" w:hAnsiTheme="minorEastAsia" w:eastAsiaTheme="minorEastAsia"/>
          <w:b/>
          <w:color w:val="000000" w:themeColor="text1"/>
          <w:sz w:val="36"/>
          <w:szCs w:val="36"/>
        </w:rPr>
        <w:t>总经理致辞</w:t>
      </w:r>
      <w:bookmarkEnd w:id="4"/>
    </w:p>
    <w:p w14:paraId="7FD07110">
      <w:pPr>
        <w:ind w:right="-58"/>
        <w:jc w:val="center"/>
        <w:rPr>
          <w:rFonts w:asciiTheme="minorEastAsia" w:hAnsiTheme="minorEastAsia" w:eastAsiaTheme="minorEastAsia"/>
          <w:b/>
          <w:color w:val="000000" w:themeColor="text1"/>
          <w:sz w:val="36"/>
          <w:szCs w:val="36"/>
        </w:rPr>
      </w:pPr>
    </w:p>
    <w:p w14:paraId="1773063F">
      <w:pPr>
        <w:pStyle w:val="107"/>
        <w:spacing w:before="156" w:after="156"/>
        <w:ind w:firstLine="480"/>
        <w:rPr>
          <w:rStyle w:val="95"/>
          <w:rFonts w:hint="default"/>
          <w:sz w:val="24"/>
          <w:szCs w:val="24"/>
        </w:rPr>
      </w:pPr>
      <w:r>
        <w:rPr>
          <w:rStyle w:val="95"/>
          <w:rFonts w:hint="default"/>
          <w:sz w:val="24"/>
          <w:szCs w:val="24"/>
        </w:rPr>
        <w:t>诚信是做企业的基本准则，</w:t>
      </w:r>
      <w:r>
        <w:rPr>
          <w:rStyle w:val="95"/>
          <w:sz w:val="24"/>
          <w:szCs w:val="24"/>
          <w:lang w:eastAsia="zh-CN"/>
        </w:rPr>
        <w:t>浙江华普电缆有限公司</w:t>
      </w:r>
      <w:r>
        <w:rPr>
          <w:rStyle w:val="95"/>
          <w:rFonts w:hint="default"/>
          <w:sz w:val="24"/>
          <w:szCs w:val="24"/>
        </w:rPr>
        <w:t>致力于为公司价值链上的所有参与者创造公平、透明、开放的环境和企业文化</w:t>
      </w:r>
      <w:r>
        <w:rPr>
          <w:rStyle w:val="95"/>
          <w:rFonts w:hint="default"/>
          <w:sz w:val="24"/>
          <w:szCs w:val="24"/>
          <w:highlight w:val="none"/>
        </w:rPr>
        <w:t>。</w:t>
      </w:r>
      <w:r>
        <w:rPr>
          <w:rStyle w:val="95"/>
          <w:sz w:val="24"/>
          <w:szCs w:val="24"/>
          <w:highlight w:val="none"/>
          <w:lang w:eastAsia="zh-CN"/>
        </w:rPr>
        <w:t>公司</w:t>
      </w:r>
      <w:r>
        <w:rPr>
          <w:rStyle w:val="95"/>
          <w:rFonts w:hint="default"/>
          <w:sz w:val="24"/>
          <w:szCs w:val="24"/>
          <w:highlight w:val="none"/>
        </w:rPr>
        <w:t>专业生产高低压电力电缆，产品品种齐全，</w:t>
      </w:r>
      <w:r>
        <w:rPr>
          <w:rFonts w:hint="eastAsia" w:asciiTheme="minorEastAsia" w:hAnsiTheme="minorEastAsia" w:cstheme="minorEastAsia"/>
          <w:highlight w:val="none"/>
        </w:rPr>
        <w:t>主要产品有：</w:t>
      </w:r>
      <w:r>
        <w:rPr>
          <w:rFonts w:hint="eastAsia" w:ascii="宋体" w:hAnsi="宋体" w:eastAsia="宋体" w:cs="宋体"/>
          <w:sz w:val="24"/>
          <w:szCs w:val="18"/>
        </w:rPr>
        <w:t>中低压电力电缆、交联耐火电缆、控制电缆、架空电缆、橡套电缆、低烟无卤电缆、分支电缆、电线、铝绞线、钢芯铝绞线等十多个品种，千余个规格</w:t>
      </w:r>
      <w:r>
        <w:rPr>
          <w:rStyle w:val="95"/>
          <w:rFonts w:hint="default"/>
          <w:sz w:val="24"/>
          <w:szCs w:val="24"/>
          <w:highlight w:val="none"/>
        </w:rPr>
        <w:t>。</w:t>
      </w:r>
    </w:p>
    <w:p w14:paraId="7E982985">
      <w:pPr>
        <w:pStyle w:val="107"/>
        <w:spacing w:before="156" w:after="156"/>
        <w:ind w:firstLine="480"/>
        <w:rPr>
          <w:rStyle w:val="95"/>
          <w:rFonts w:hint="default"/>
          <w:sz w:val="24"/>
          <w:szCs w:val="24"/>
        </w:rPr>
      </w:pPr>
      <w:r>
        <w:rPr>
          <w:rStyle w:val="95"/>
          <w:rFonts w:hint="default"/>
          <w:sz w:val="24"/>
          <w:szCs w:val="24"/>
        </w:rPr>
        <w:t>公司高度重视质量管理体系的建设，建立了完善的质量管理体系。公司通过了质量管理体系认证，为公司进一步开拓市场提供了可靠的质量保证。公司建立了一套科学、完善的质量控制体制，产品均符合产品质量标准，受到国内外客户的广泛认可。另外，公司还先后建立了 环境管理体系和职业健康安全管理体系，并通过认证。</w:t>
      </w:r>
    </w:p>
    <w:p w14:paraId="53941969">
      <w:pPr>
        <w:spacing w:line="360" w:lineRule="auto"/>
        <w:ind w:firstLine="480" w:firstLineChars="200"/>
        <w:rPr>
          <w:rFonts w:cs="仿宋_GB2312" w:asciiTheme="minorEastAsia" w:hAnsiTheme="minorEastAsia" w:eastAsiaTheme="minorEastAsia"/>
          <w:color w:val="000000" w:themeColor="text1"/>
          <w:sz w:val="24"/>
        </w:rPr>
      </w:pPr>
      <w:r>
        <w:rPr>
          <w:rFonts w:hint="eastAsia" w:cs="仿宋_GB2312" w:asciiTheme="minorEastAsia" w:hAnsiTheme="minorEastAsia" w:eastAsiaTheme="minorEastAsia"/>
          <w:color w:val="000000" w:themeColor="text1"/>
          <w:sz w:val="24"/>
        </w:rPr>
        <w:t>在现代经济社会中，诚信不仅是一种道德规范，也是能够为企业带来经济效益的重要资源，质量诚信更是赢取客户的核心要素，企业文化要求全体员工讲诚信，以诚立身，塑造诚信文化，提升企业核心竞争力，努力打造最受顾客欢迎的</w:t>
      </w:r>
      <w:r>
        <w:rPr>
          <w:rFonts w:hint="eastAsia" w:asciiTheme="minorEastAsia" w:hAnsiTheme="minorEastAsia" w:eastAsiaTheme="minorEastAsia"/>
          <w:sz w:val="24"/>
        </w:rPr>
        <w:t>电线电缆</w:t>
      </w:r>
      <w:r>
        <w:rPr>
          <w:rFonts w:hint="eastAsia" w:cs="仿宋_GB2312" w:asciiTheme="minorEastAsia" w:hAnsiTheme="minorEastAsia" w:eastAsiaTheme="minorEastAsia"/>
          <w:color w:val="000000" w:themeColor="text1"/>
          <w:sz w:val="24"/>
        </w:rPr>
        <w:t>生产企业。</w:t>
      </w:r>
    </w:p>
    <w:p w14:paraId="67EA214D">
      <w:pPr>
        <w:spacing w:line="360" w:lineRule="auto"/>
        <w:ind w:firstLine="3920" w:firstLineChars="1400"/>
        <w:rPr>
          <w:rFonts w:cs="仿宋_GB2312" w:asciiTheme="minorEastAsia" w:hAnsiTheme="minorEastAsia" w:eastAsiaTheme="minorEastAsia"/>
          <w:color w:val="000000" w:themeColor="text1"/>
          <w:sz w:val="28"/>
          <w:szCs w:val="28"/>
        </w:rPr>
      </w:pPr>
    </w:p>
    <w:p w14:paraId="29123933">
      <w:pPr>
        <w:spacing w:line="360" w:lineRule="auto"/>
        <w:ind w:firstLine="4340" w:firstLineChars="1550"/>
        <w:rPr>
          <w:rFonts w:hint="eastAsia" w:cs="仿宋_GB2312" w:asciiTheme="minorEastAsia" w:hAnsiTheme="minorEastAsia" w:eastAsiaTheme="minorEastAsia"/>
          <w:color w:val="000000" w:themeColor="text1"/>
          <w:sz w:val="28"/>
          <w:szCs w:val="28"/>
          <w:lang w:eastAsia="zh-CN"/>
        </w:rPr>
      </w:pPr>
      <w:r>
        <w:rPr>
          <w:rFonts w:hint="eastAsia" w:cs="仿宋_GB2312" w:asciiTheme="minorEastAsia" w:hAnsiTheme="minorEastAsia" w:eastAsiaTheme="minorEastAsia"/>
          <w:color w:val="000000" w:themeColor="text1"/>
          <w:sz w:val="28"/>
          <w:szCs w:val="28"/>
          <w:lang w:eastAsia="zh-CN"/>
        </w:rPr>
        <w:t>浙江华普电缆有限公司</w:t>
      </w:r>
    </w:p>
    <w:p w14:paraId="7C517282">
      <w:pPr>
        <w:spacing w:line="360" w:lineRule="auto"/>
        <w:ind w:firstLine="4200" w:firstLineChars="1500"/>
        <w:rPr>
          <w:rFonts w:cs="仿宋_GB2312" w:asciiTheme="minorEastAsia" w:hAnsiTheme="minorEastAsia" w:eastAsiaTheme="minorEastAsia"/>
          <w:color w:val="000000" w:themeColor="text1"/>
          <w:sz w:val="28"/>
          <w:szCs w:val="28"/>
        </w:rPr>
      </w:pPr>
    </w:p>
    <w:p w14:paraId="70E77EBC">
      <w:pPr>
        <w:spacing w:line="360" w:lineRule="auto"/>
        <w:ind w:firstLine="4620" w:firstLineChars="1650"/>
        <w:rPr>
          <w:rFonts w:hint="default" w:cs="仿宋_GB2312" w:asciiTheme="minorEastAsia" w:hAnsiTheme="minorEastAsia" w:eastAsiaTheme="minorEastAsia"/>
          <w:color w:val="000000" w:themeColor="text1"/>
          <w:sz w:val="28"/>
          <w:szCs w:val="28"/>
          <w:lang w:val="en-US" w:eastAsia="zh-CN"/>
        </w:rPr>
      </w:pPr>
      <w:r>
        <w:rPr>
          <w:rFonts w:hint="eastAsia" w:cs="仿宋_GB2312" w:asciiTheme="minorEastAsia" w:hAnsiTheme="minorEastAsia" w:eastAsiaTheme="minorEastAsia"/>
          <w:color w:val="000000" w:themeColor="text1"/>
          <w:sz w:val="28"/>
          <w:szCs w:val="28"/>
        </w:rPr>
        <w:t>总经理（签名）：</w:t>
      </w:r>
      <w:r>
        <w:rPr>
          <w:rFonts w:hint="eastAsia" w:cs="仿宋_GB2312" w:asciiTheme="minorEastAsia" w:hAnsiTheme="minorEastAsia" w:eastAsiaTheme="minorEastAsia"/>
          <w:color w:val="000000" w:themeColor="text1"/>
          <w:sz w:val="28"/>
          <w:szCs w:val="28"/>
          <w:lang w:val="en-US" w:eastAsia="zh-CN"/>
        </w:rPr>
        <w:t>陈策</w:t>
      </w:r>
    </w:p>
    <w:p w14:paraId="19EBD355">
      <w:pPr>
        <w:rPr>
          <w:rFonts w:asciiTheme="minorEastAsia" w:hAnsiTheme="minorEastAsia" w:eastAsiaTheme="minorEastAsia"/>
          <w:bCs/>
          <w:color w:val="000000" w:themeColor="text1"/>
          <w:kern w:val="32"/>
          <w:sz w:val="44"/>
          <w:szCs w:val="44"/>
        </w:rPr>
      </w:pPr>
      <w:r>
        <w:rPr>
          <w:rFonts w:hint="eastAsia" w:asciiTheme="minorEastAsia" w:hAnsiTheme="minorEastAsia" w:eastAsiaTheme="minorEastAsia"/>
          <w:bCs/>
          <w:color w:val="000000" w:themeColor="text1"/>
          <w:kern w:val="32"/>
          <w:sz w:val="44"/>
          <w:szCs w:val="44"/>
        </w:rPr>
        <w:br w:type="page"/>
      </w:r>
    </w:p>
    <w:p w14:paraId="5F0BDACE">
      <w:pPr>
        <w:keepNext/>
        <w:keepLines/>
        <w:spacing w:line="276" w:lineRule="auto"/>
        <w:jc w:val="center"/>
        <w:outlineLvl w:val="1"/>
        <w:rPr>
          <w:rFonts w:asciiTheme="minorEastAsia" w:hAnsiTheme="minorEastAsia" w:eastAsiaTheme="minorEastAsia"/>
          <w:bCs/>
          <w:color w:val="000000" w:themeColor="text1"/>
          <w:kern w:val="32"/>
          <w:sz w:val="44"/>
          <w:szCs w:val="44"/>
        </w:rPr>
      </w:pPr>
      <w:bookmarkStart w:id="5" w:name="_Toc21502"/>
      <w:r>
        <w:rPr>
          <w:rFonts w:hint="eastAsia" w:asciiTheme="minorEastAsia" w:hAnsiTheme="minorEastAsia" w:eastAsiaTheme="minorEastAsia"/>
          <w:bCs/>
          <w:color w:val="000000" w:themeColor="text1"/>
          <w:kern w:val="32"/>
          <w:sz w:val="44"/>
          <w:szCs w:val="44"/>
        </w:rPr>
        <w:t>报告正文</w:t>
      </w:r>
      <w:bookmarkEnd w:id="5"/>
    </w:p>
    <w:p w14:paraId="4873B7C8">
      <w:pPr>
        <w:spacing w:line="276" w:lineRule="auto"/>
        <w:outlineLvl w:val="0"/>
        <w:rPr>
          <w:rFonts w:asciiTheme="minorEastAsia" w:hAnsiTheme="minorEastAsia" w:eastAsiaTheme="minorEastAsia"/>
          <w:b/>
          <w:color w:val="000000" w:themeColor="text1"/>
          <w:sz w:val="28"/>
          <w:szCs w:val="28"/>
        </w:rPr>
      </w:pPr>
      <w:bookmarkStart w:id="6" w:name="_Toc451594565"/>
      <w:bookmarkStart w:id="7" w:name="_Toc5537"/>
      <w:bookmarkStart w:id="8" w:name="_Toc451594566"/>
      <w:r>
        <w:rPr>
          <w:rFonts w:hint="eastAsia" w:asciiTheme="minorEastAsia" w:hAnsiTheme="minorEastAsia" w:eastAsiaTheme="minorEastAsia"/>
          <w:b/>
          <w:color w:val="000000" w:themeColor="text1"/>
          <w:sz w:val="28"/>
          <w:szCs w:val="28"/>
        </w:rPr>
        <w:t>一、公司简介</w:t>
      </w:r>
      <w:bookmarkEnd w:id="6"/>
      <w:bookmarkEnd w:id="7"/>
    </w:p>
    <w:p w14:paraId="4684F074">
      <w:pPr>
        <w:spacing w:line="276" w:lineRule="auto"/>
        <w:ind w:firstLine="420" w:firstLineChars="200"/>
        <w:outlineLvl w:val="0"/>
        <w:rPr>
          <w:rFonts w:hint="eastAsia" w:cs="仿宋_GB2312" w:asciiTheme="minorEastAsia" w:hAnsiTheme="minorEastAsia" w:eastAsiaTheme="minorEastAsia"/>
          <w:color w:val="000000" w:themeColor="text1"/>
          <w:kern w:val="2"/>
          <w:sz w:val="21"/>
          <w:szCs w:val="21"/>
          <w:lang w:val="en-US" w:eastAsia="zh-CN" w:bidi="ar-SA"/>
        </w:rPr>
      </w:pPr>
      <w:bookmarkStart w:id="9" w:name="_Toc17718"/>
      <w:r>
        <w:rPr>
          <w:rFonts w:hint="eastAsia" w:cs="仿宋_GB2312" w:asciiTheme="minorEastAsia" w:hAnsiTheme="minorEastAsia" w:eastAsiaTheme="minorEastAsia"/>
          <w:color w:val="000000" w:themeColor="text1"/>
          <w:kern w:val="2"/>
          <w:sz w:val="21"/>
          <w:szCs w:val="21"/>
          <w:lang w:val="en-US" w:eastAsia="zh-CN" w:bidi="ar-SA"/>
        </w:rPr>
        <w:t>浙江华普电缆有限公司位于浙江省湖州市德清县新市镇德清经济开发区智园路39号,与浙江省省会杭州相邻。地理位置得天独厚、交通发达。公司专注于交联聚乙烯、聚氯乙烯绝缘电力电缆、控制电缆、架空电缆、铝绞线、钢芯铝绞线、布电线、通用橡套软电缆、电源插头线、射频电缆、通信电缆、计算机电缆、以及低烟无卤、阻燃、耐火等特种电器装备产品的生产与研发。</w:t>
      </w:r>
    </w:p>
    <w:p w14:paraId="6760F869">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公司装备精良，技术工艺先进、检测项目齐全，实验设施完备，拥有先进的自动化生产设备，并通过了3C质量认证，取得了生产许可证。公司坚信好的质量是赢得顾客满意和占领市场的必胜武器，更可以树立品牌的高端形象。公司建立了一套完善的管理制度，我们本着:严谨、高效、诚信、务实、谦德、团结的精神力争成为全球绿色环保产品的倡导者和领导者。公司在提供一流电线电缆产品的同时，将以科学的管理、标准的生产、优质的产品、满意的服务和最佳的商誉与各界同仁携手合作，共创辉煌!公司将以客户的需求点为基础，不断努力创新，为客户争取最大化利益。</w:t>
      </w:r>
    </w:p>
    <w:p w14:paraId="572FD978">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1273A8E1">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地址：</w:t>
      </w:r>
      <w:bookmarkStart w:id="10" w:name="OLE_LINK43"/>
      <w:bookmarkStart w:id="11" w:name="OLE_LINK41"/>
      <w:r>
        <w:rPr>
          <w:rFonts w:hint="eastAsia" w:cs="仿宋_GB2312" w:asciiTheme="minorEastAsia" w:hAnsiTheme="minorEastAsia" w:eastAsiaTheme="minorEastAsia"/>
          <w:color w:val="000000" w:themeColor="text1"/>
          <w:kern w:val="2"/>
          <w:sz w:val="21"/>
          <w:szCs w:val="21"/>
          <w:lang w:val="en-US" w:eastAsia="zh-CN" w:bidi="ar-SA"/>
        </w:rPr>
        <w:t>浙江省湖州市德清县新市镇德清经济开发区智园路39号</w:t>
      </w:r>
    </w:p>
    <w:bookmarkEnd w:id="10"/>
    <w:bookmarkEnd w:id="11"/>
    <w:p w14:paraId="2705024C">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联系人：</w:t>
      </w:r>
      <w:bookmarkStart w:id="12" w:name="OLE_LINK157"/>
      <w:bookmarkStart w:id="13" w:name="OLE_LINK156"/>
      <w:r>
        <w:rPr>
          <w:rFonts w:hint="eastAsia" w:cs="仿宋_GB2312" w:asciiTheme="minorEastAsia" w:hAnsiTheme="minorEastAsia" w:eastAsiaTheme="minorEastAsia"/>
          <w:color w:val="000000" w:themeColor="text1"/>
          <w:kern w:val="2"/>
          <w:sz w:val="21"/>
          <w:szCs w:val="21"/>
          <w:lang w:val="en-US" w:eastAsia="zh-CN" w:bidi="ar-SA"/>
        </w:rPr>
        <w:t>洪文同</w:t>
      </w:r>
    </w:p>
    <w:bookmarkEnd w:id="12"/>
    <w:bookmarkEnd w:id="13"/>
    <w:p w14:paraId="6A08BF6D">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电话：0572-8218199</w:t>
      </w:r>
    </w:p>
    <w:p w14:paraId="22368F8F">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传真：0572-882191</w:t>
      </w:r>
    </w:p>
    <w:p w14:paraId="4938C067">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3FDE040B">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724D8FE7">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22212260">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7F818C1E">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17F65243">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49EB5FEA">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0B5F01D8">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1FFC699C">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6E709122">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38A997FE">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3C8A9A92">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700B9D5F">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54DFA9E2">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73037E2D">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4E9C8535">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0FF26757">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5801C198">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249226E5">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0A9DA9A1">
      <w:pPr>
        <w:spacing w:line="276" w:lineRule="auto"/>
        <w:outlineLvl w:val="0"/>
        <w:rPr>
          <w:rFonts w:asciiTheme="minorEastAsia" w:hAnsiTheme="minorEastAsia" w:eastAsiaTheme="minorEastAsia"/>
          <w:b/>
          <w:color w:val="000000" w:themeColor="text1"/>
          <w:sz w:val="28"/>
          <w:szCs w:val="28"/>
        </w:rPr>
      </w:pPr>
      <w:r>
        <w:rPr>
          <w:rFonts w:hint="eastAsia" w:asciiTheme="minorEastAsia" w:hAnsiTheme="minorEastAsia" w:eastAsiaTheme="minorEastAsia"/>
          <w:b/>
          <w:color w:val="000000" w:themeColor="text1"/>
          <w:sz w:val="28"/>
          <w:szCs w:val="28"/>
          <w:lang w:eastAsia="zh-CN"/>
        </w:rPr>
        <w:t>9</w:t>
      </w:r>
      <w:r>
        <w:rPr>
          <w:rFonts w:hint="eastAsia" w:asciiTheme="minorEastAsia" w:hAnsiTheme="minorEastAsia" w:eastAsiaTheme="minorEastAsia"/>
          <w:b/>
          <w:color w:val="000000" w:themeColor="text1"/>
          <w:sz w:val="28"/>
          <w:szCs w:val="28"/>
        </w:rPr>
        <w:t>二、企业质量理念</w:t>
      </w:r>
      <w:bookmarkEnd w:id="8"/>
      <w:bookmarkEnd w:id="9"/>
    </w:p>
    <w:p w14:paraId="7A029B25">
      <w:pPr>
        <w:pStyle w:val="10"/>
        <w:spacing w:line="440" w:lineRule="exact"/>
        <w:ind w:firstLine="420" w:firstLineChars="200"/>
        <w:jc w:val="left"/>
        <w:rPr>
          <w:rFonts w:asciiTheme="minorEastAsia" w:hAnsiTheme="minorEastAsia" w:eastAsiaTheme="minorEastAsia"/>
          <w:bCs/>
          <w:color w:val="000000" w:themeColor="text1"/>
          <w:szCs w:val="21"/>
        </w:rPr>
      </w:pPr>
      <w:r>
        <w:rPr>
          <w:rFonts w:hint="eastAsia" w:cs="仿宋_GB2312" w:asciiTheme="minorEastAsia" w:hAnsiTheme="minorEastAsia" w:eastAsiaTheme="minorEastAsia"/>
          <w:color w:val="000000" w:themeColor="text1"/>
          <w:szCs w:val="21"/>
        </w:rPr>
        <w:t>公司自创立至今，便致力于产品质量的管控。始终秉持产品质量是企业生存和发展的基石，是占领市场和赢得顾客的先决条件，质量源自于我心，企业依存于顾客的质量理念，不断的完善和提升公司的质量管理水平。公司自从通过质量管理体系认证公司始终坚持：“科学管理，提供顾客满意”的质量方针，严格按法律法规要求、质量管理体系标准要求、管理手册要求、程序文件要求等执行，使企业的质量管理体系得到有效运行，使产品质量得到有力的保障和不断的提升，从而使企业各项质量目标基本得以达成。为从根本上加强和提升质量管理，提高公司经营质量，公司更以卓越绩效模式的导入为契机，推行全面质量管理，运用项目管理，通过内部审核、自我评价、第二方审核、第三方审核或评价、质量月等活动，不断寻找改进的机会改进质量管理，逐步实现卓越绩效。公司自建立以来，公司从未出现过重大质量投诉，在历年接受各级质量技术部门的抽检中，合格率均达100%。企业使命：</w:t>
      </w:r>
      <w:r>
        <w:rPr>
          <w:rFonts w:hint="eastAsia" w:ascii="宋体" w:hAnsi="宋体"/>
          <w:color w:val="000000" w:themeColor="text1"/>
          <w:szCs w:val="21"/>
        </w:rPr>
        <w:t>用高新技术改造传统产业，为顾客提供最佳的电缆技术解决方案</w:t>
      </w:r>
      <w:r>
        <w:rPr>
          <w:rFonts w:hint="eastAsia" w:asciiTheme="minorEastAsia" w:hAnsiTheme="minorEastAsia" w:eastAsiaTheme="minorEastAsia"/>
          <w:bCs/>
          <w:color w:val="000000" w:themeColor="text1"/>
          <w:szCs w:val="21"/>
        </w:rPr>
        <w:t>。</w:t>
      </w:r>
    </w:p>
    <w:p w14:paraId="083ABE80">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hint="default"/>
          <w:b/>
          <w:bCs/>
          <w:sz w:val="21"/>
          <w:szCs w:val="21"/>
          <w:highlight w:val="none"/>
          <w:lang w:val="en-US"/>
        </w:rPr>
      </w:pPr>
      <w:r>
        <w:rPr>
          <w:rFonts w:hint="eastAsia"/>
          <w:b/>
          <w:bCs/>
          <w:sz w:val="21"/>
          <w:szCs w:val="21"/>
          <w:highlight w:val="none"/>
        </w:rPr>
        <w:t>企业使命：</w:t>
      </w:r>
      <w:r>
        <w:rPr>
          <w:rFonts w:hint="eastAsia"/>
          <w:b/>
          <w:bCs/>
          <w:sz w:val="21"/>
          <w:szCs w:val="21"/>
          <w:highlight w:val="none"/>
          <w:lang w:val="en-US" w:eastAsia="zh-CN"/>
        </w:rPr>
        <w:t>以“诚信经营、创新发展”为理念</w:t>
      </w:r>
      <w:r>
        <w:rPr>
          <w:rFonts w:hint="eastAsia"/>
          <w:b/>
          <w:bCs/>
          <w:sz w:val="21"/>
          <w:szCs w:val="21"/>
          <w:highlight w:val="none"/>
        </w:rPr>
        <w:t>，</w:t>
      </w:r>
      <w:r>
        <w:rPr>
          <w:rFonts w:hint="eastAsia"/>
          <w:b/>
          <w:bCs/>
          <w:sz w:val="21"/>
          <w:szCs w:val="21"/>
          <w:highlight w:val="none"/>
          <w:lang w:val="en-US" w:eastAsia="zh-CN"/>
        </w:rPr>
        <w:t>以真诚品质塑造中策品牌</w:t>
      </w:r>
    </w:p>
    <w:p w14:paraId="0A8CFBC3">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hint="eastAsia"/>
          <w:b/>
          <w:bCs/>
          <w:sz w:val="21"/>
          <w:szCs w:val="21"/>
          <w:highlight w:val="none"/>
        </w:rPr>
      </w:pPr>
      <w:r>
        <w:rPr>
          <w:rFonts w:hint="eastAsia"/>
          <w:b/>
          <w:bCs/>
          <w:sz w:val="21"/>
          <w:szCs w:val="21"/>
          <w:highlight w:val="none"/>
        </w:rPr>
        <w:t>企业愿景：成为</w:t>
      </w:r>
      <w:r>
        <w:rPr>
          <w:rFonts w:hint="eastAsia"/>
          <w:b/>
          <w:bCs/>
          <w:sz w:val="21"/>
          <w:szCs w:val="21"/>
          <w:highlight w:val="none"/>
          <w:lang w:val="en-US" w:eastAsia="zh-CN"/>
        </w:rPr>
        <w:t>国内</w:t>
      </w:r>
      <w:r>
        <w:rPr>
          <w:rFonts w:hint="eastAsia"/>
          <w:b/>
          <w:bCs/>
          <w:sz w:val="21"/>
          <w:szCs w:val="21"/>
          <w:highlight w:val="none"/>
        </w:rPr>
        <w:t>电缆行业的</w:t>
      </w:r>
      <w:r>
        <w:rPr>
          <w:rFonts w:hint="eastAsia"/>
          <w:b/>
          <w:bCs/>
          <w:sz w:val="21"/>
          <w:szCs w:val="21"/>
          <w:highlight w:val="none"/>
          <w:lang w:val="en-US" w:eastAsia="zh-CN"/>
        </w:rPr>
        <w:t>先进</w:t>
      </w:r>
      <w:r>
        <w:rPr>
          <w:rFonts w:hint="eastAsia"/>
          <w:b/>
          <w:bCs/>
          <w:sz w:val="21"/>
          <w:szCs w:val="21"/>
          <w:highlight w:val="none"/>
        </w:rPr>
        <w:t>企业。</w:t>
      </w:r>
    </w:p>
    <w:p w14:paraId="35189528">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hint="eastAsia"/>
          <w:b/>
          <w:bCs/>
          <w:sz w:val="21"/>
          <w:szCs w:val="21"/>
          <w:highlight w:val="none"/>
        </w:rPr>
      </w:pPr>
      <w:r>
        <w:rPr>
          <w:rFonts w:hint="eastAsia"/>
          <w:b/>
          <w:bCs/>
          <w:sz w:val="21"/>
          <w:szCs w:val="21"/>
          <w:highlight w:val="none"/>
        </w:rPr>
        <w:t>核心价值观：诚信、</w:t>
      </w:r>
      <w:r>
        <w:rPr>
          <w:rFonts w:hint="eastAsia"/>
          <w:b/>
          <w:bCs/>
          <w:sz w:val="21"/>
          <w:szCs w:val="21"/>
          <w:highlight w:val="none"/>
          <w:lang w:val="en-US" w:eastAsia="zh-CN"/>
        </w:rPr>
        <w:t>责任、</w:t>
      </w:r>
      <w:r>
        <w:rPr>
          <w:rFonts w:hint="eastAsia"/>
          <w:b/>
          <w:bCs/>
          <w:sz w:val="21"/>
          <w:szCs w:val="21"/>
          <w:highlight w:val="none"/>
        </w:rPr>
        <w:t>创新、奋进。</w:t>
      </w:r>
      <w:bookmarkStart w:id="14" w:name="_Toc451594567"/>
    </w:p>
    <w:p w14:paraId="54436C13">
      <w:pPr>
        <w:keepNext w:val="0"/>
        <w:keepLines w:val="0"/>
        <w:pageBreakBefore w:val="0"/>
        <w:widowControl w:val="0"/>
        <w:kinsoku/>
        <w:wordWrap/>
        <w:overflowPunct/>
        <w:topLinePunct w:val="0"/>
        <w:autoSpaceDE/>
        <w:autoSpaceDN/>
        <w:bidi w:val="0"/>
        <w:adjustRightInd/>
        <w:snapToGrid/>
        <w:spacing w:line="312" w:lineRule="auto"/>
        <w:textAlignment w:val="auto"/>
        <w:outlineLvl w:val="0"/>
        <w:rPr>
          <w:rFonts w:hint="eastAsia" w:asciiTheme="minorEastAsia" w:hAnsiTheme="minorEastAsia" w:eastAsiaTheme="minorEastAsia"/>
          <w:b/>
          <w:color w:val="000000" w:themeColor="text1"/>
          <w:sz w:val="28"/>
          <w:szCs w:val="28"/>
        </w:rPr>
        <w:sectPr>
          <w:footerReference r:id="rId6" w:type="default"/>
          <w:pgSz w:w="11906" w:h="16838"/>
          <w:pgMar w:top="1440" w:right="1519" w:bottom="1440" w:left="1576"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heme="minorEastAsia" w:hAnsiTheme="minorEastAsia" w:eastAsiaTheme="minorEastAsia"/>
          <w:b/>
          <w:color w:val="000000" w:themeColor="text1"/>
          <w:sz w:val="24"/>
          <w:lang w:val="en-US" w:eastAsia="zh-CN"/>
        </w:rPr>
        <w:t xml:space="preserve"> </w:t>
      </w:r>
      <w:r>
        <w:rPr>
          <w:rFonts w:hint="eastAsia" w:asciiTheme="minorEastAsia" w:hAnsiTheme="minorEastAsia" w:eastAsiaTheme="minorEastAsia"/>
          <w:b/>
          <w:color w:val="000000" w:themeColor="text1"/>
          <w:sz w:val="21"/>
          <w:szCs w:val="21"/>
          <w:lang w:val="en-US" w:eastAsia="zh-CN"/>
        </w:rPr>
        <w:t xml:space="preserve">  </w:t>
      </w:r>
      <w:bookmarkStart w:id="15" w:name="_Toc21419"/>
      <w:r>
        <w:rPr>
          <w:rFonts w:hint="eastAsia" w:asciiTheme="minorEastAsia" w:hAnsiTheme="minorEastAsia" w:eastAsiaTheme="minorEastAsia"/>
          <w:b/>
          <w:color w:val="000000" w:themeColor="text1"/>
          <w:sz w:val="21"/>
          <w:szCs w:val="21"/>
          <w:lang w:val="en-US" w:eastAsia="zh-CN"/>
        </w:rPr>
        <w:t>公司管理方针：</w:t>
      </w:r>
      <w:r>
        <w:rPr>
          <w:rFonts w:hint="eastAsia" w:eastAsiaTheme="minorEastAsia"/>
          <w:b/>
          <w:bCs/>
          <w:sz w:val="21"/>
          <w:szCs w:val="21"/>
          <w:lang w:eastAsia="zh-CN"/>
        </w:rPr>
        <w:t>科学管理，提供顾客满意；规范操作，减少环境污染；关爱生命，预防安全事故；遵纪守法，追求不断改进</w:t>
      </w:r>
      <w:r>
        <w:rPr>
          <w:rFonts w:hint="eastAsia" w:eastAsiaTheme="minorEastAsia"/>
          <w:sz w:val="21"/>
          <w:szCs w:val="21"/>
          <w:lang w:eastAsia="zh-CN"/>
        </w:rPr>
        <w:t>。</w:t>
      </w:r>
      <w:bookmarkEnd w:id="15"/>
    </w:p>
    <w:p w14:paraId="39532264">
      <w:pPr>
        <w:spacing w:line="276" w:lineRule="auto"/>
        <w:outlineLvl w:val="0"/>
        <w:rPr>
          <w:rFonts w:asciiTheme="minorEastAsia" w:hAnsiTheme="minorEastAsia" w:eastAsiaTheme="minorEastAsia"/>
          <w:b/>
          <w:color w:val="000000" w:themeColor="text1"/>
          <w:sz w:val="28"/>
          <w:szCs w:val="28"/>
        </w:rPr>
      </w:pPr>
      <w:bookmarkStart w:id="16" w:name="_Toc8355"/>
      <w:r>
        <w:rPr>
          <w:rFonts w:hint="eastAsia" w:asciiTheme="minorEastAsia" w:hAnsiTheme="minorEastAsia" w:eastAsiaTheme="minorEastAsia"/>
          <w:b/>
          <w:color w:val="000000" w:themeColor="text1"/>
          <w:sz w:val="28"/>
          <w:szCs w:val="28"/>
        </w:rPr>
        <w:t>三、企业质量管理</w:t>
      </w:r>
      <w:bookmarkEnd w:id="14"/>
      <w:bookmarkEnd w:id="16"/>
    </w:p>
    <w:p w14:paraId="0B9F2878">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17" w:name="_Toc8423"/>
      <w:r>
        <w:rPr>
          <w:rFonts w:hint="eastAsia" w:cs="仿宋_GB2312" w:asciiTheme="minorEastAsia" w:hAnsiTheme="minorEastAsia" w:eastAsiaTheme="minorEastAsia"/>
          <w:b/>
          <w:bCs/>
          <w:color w:val="000000" w:themeColor="text1"/>
          <w:sz w:val="24"/>
        </w:rPr>
        <w:t>（一）质量管理机构</w:t>
      </w:r>
      <w:bookmarkEnd w:id="17"/>
    </w:p>
    <w:p w14:paraId="0ABB324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产品是过程的输出或结果。产品的质量是由过程质量决定的，过程的质量是由系统的质量决定的。为确保系统、过程、产品的质量，公司依据质量管理体系标准要求，运用管理的系统方法、过程方法，识别了所需的过程及其接口关系，建立了公司的质量管理架构。</w:t>
      </w:r>
    </w:p>
    <w:p w14:paraId="68576A34">
      <w:pPr>
        <w:pStyle w:val="20"/>
        <w:spacing w:before="0" w:beforeAutospacing="0" w:after="0" w:afterAutospacing="0" w:line="312" w:lineRule="auto"/>
        <w:ind w:firstLine="422" w:firstLineChars="200"/>
        <w:rPr>
          <w:b/>
          <w:color w:val="000000"/>
          <w:sz w:val="21"/>
          <w:szCs w:val="21"/>
        </w:rPr>
      </w:pPr>
      <w:r>
        <w:rPr>
          <w:rFonts w:hint="eastAsia"/>
          <w:b/>
          <w:color w:val="000000"/>
          <w:sz w:val="21"/>
          <w:szCs w:val="21"/>
        </w:rPr>
        <w:t>1</w:t>
      </w:r>
      <w:r>
        <w:rPr>
          <w:rFonts w:hint="eastAsia"/>
          <w:b/>
          <w:sz w:val="21"/>
          <w:szCs w:val="21"/>
        </w:rPr>
        <w:t>、</w:t>
      </w:r>
      <w:r>
        <w:rPr>
          <w:rFonts w:hint="eastAsia"/>
          <w:b/>
          <w:color w:val="000000"/>
          <w:sz w:val="21"/>
          <w:szCs w:val="21"/>
        </w:rPr>
        <w:t>公司组织结构</w:t>
      </w:r>
    </w:p>
    <w:p w14:paraId="2CF711E6">
      <w:pPr>
        <w:pStyle w:val="36"/>
        <w:numPr>
          <w:ilvl w:val="0"/>
          <w:numId w:val="0"/>
        </w:numPr>
        <w:spacing w:beforeLines="0" w:afterLines="0" w:line="360" w:lineRule="auto"/>
        <w:jc w:val="center"/>
        <w:rPr>
          <w:rFonts w:hint="eastAsia" w:ascii="宋体" w:hAnsi="宋体" w:eastAsia="宋体"/>
          <w:b/>
          <w:color w:val="000000"/>
          <w:szCs w:val="21"/>
          <w:highlight w:val="none"/>
        </w:rPr>
      </w:pPr>
      <w:bookmarkStart w:id="18" w:name="_Toc14851"/>
      <w:r>
        <w:rPr>
          <w:rFonts w:hint="eastAsia" w:ascii="宋体" w:hAnsi="宋体" w:eastAsia="宋体"/>
          <w:b/>
          <w:color w:val="000000"/>
          <w:szCs w:val="21"/>
        </w:rPr>
        <w:t xml:space="preserve">图表1 </w:t>
      </w:r>
      <w:r>
        <w:rPr>
          <w:rFonts w:hint="eastAsia" w:ascii="宋体" w:hAnsi="宋体" w:eastAsia="宋体"/>
          <w:b/>
          <w:color w:val="000000"/>
          <w:szCs w:val="21"/>
          <w:highlight w:val="none"/>
          <w:lang w:eastAsia="zh-CN"/>
        </w:rPr>
        <w:t>浙江华普电缆有限公司</w:t>
      </w:r>
      <w:r>
        <w:rPr>
          <w:rFonts w:hint="eastAsia" w:ascii="宋体" w:hAnsi="宋体" w:eastAsia="宋体"/>
          <w:b/>
          <w:color w:val="000000"/>
          <w:szCs w:val="21"/>
          <w:highlight w:val="none"/>
        </w:rPr>
        <w:t>组织机构图</w:t>
      </w:r>
      <w:bookmarkEnd w:id="18"/>
    </w:p>
    <w:p w14:paraId="6677CA01">
      <w:pPr>
        <w:adjustRightInd w:val="0"/>
        <w:snapToGrid w:val="0"/>
        <w:jc w:val="left"/>
        <w:rPr>
          <w:rFonts w:hint="eastAsia"/>
        </w:rPr>
      </w:pPr>
    </w:p>
    <w:p w14:paraId="773E6580">
      <w:pPr>
        <w:adjustRightInd w:val="0"/>
        <w:snapToGrid w:val="0"/>
        <w:jc w:val="center"/>
        <w:rPr>
          <w:rFonts w:hint="eastAsia" w:ascii="Calibri Light" w:hAnsi="Calibri Light"/>
          <w:b/>
          <w:bCs/>
          <w:color w:val="FF0000"/>
          <w:sz w:val="32"/>
          <w:szCs w:val="32"/>
        </w:rPr>
      </w:pPr>
      <w:r>
        <w:rPr>
          <w:rFonts w:hint="eastAsia" w:ascii="Calibri Light" w:hAnsi="Calibri Light"/>
          <w:b/>
          <w:bCs/>
          <w:color w:val="FF0000"/>
          <w:sz w:val="32"/>
          <w:szCs w:val="32"/>
        </w:rPr>
        <w:t>组织机构图</w:t>
      </w:r>
    </w:p>
    <w:p w14:paraId="18D694AB">
      <w:pPr>
        <w:adjustRightInd w:val="0"/>
        <w:snapToGrid w:val="0"/>
        <w:jc w:val="left"/>
        <w:rPr>
          <w:rFonts w:hint="eastAsia"/>
        </w:rPr>
      </w:pPr>
    </w:p>
    <w:p w14:paraId="32D7C42D">
      <w:pPr>
        <w:adjustRightInd w:val="0"/>
        <w:snapToGrid w:val="0"/>
        <w:jc w:val="left"/>
        <w:rPr>
          <w:rFonts w:hint="eastAsia"/>
        </w:rPr>
      </w:pPr>
    </w:p>
    <w:p w14:paraId="4186C5FF">
      <w:pPr>
        <w:adjustRightInd w:val="0"/>
        <w:snapToGrid w:val="0"/>
        <w:jc w:val="left"/>
        <w:rPr>
          <w:rFonts w:hint="eastAsia"/>
        </w:rPr>
      </w:pPr>
    </w:p>
    <w:p w14:paraId="14A3F080">
      <w:pPr>
        <w:adjustRightInd w:val="0"/>
        <w:snapToGrid w:val="0"/>
        <w:jc w:val="left"/>
        <w:rPr>
          <w:rFonts w:hint="eastAsia"/>
        </w:rPr>
      </w:pPr>
    </w:p>
    <w:p w14:paraId="7BA1AD30">
      <w:pPr>
        <w:adjustRightInd w:val="0"/>
        <w:snapToGrid w:val="0"/>
        <w:jc w:val="left"/>
        <w:rPr>
          <w:rFonts w:hint="eastAsia"/>
        </w:rPr>
      </w:pPr>
      <w:r>
        <w:rPr>
          <w:b/>
          <w:bCs/>
          <w:sz w:val="20"/>
          <w:lang w:val="zh-CN"/>
        </w:rPr>
        <w:pict>
          <v:shape id="Text Box 38" o:spid="_x0000_s2050" o:spt="202" type="#_x0000_t202" style="position:absolute;left:0pt;margin-left:162pt;margin-top:11.15pt;height:23pt;width:103pt;z-index:251660288;mso-width-relative:page;mso-height-relative:page;" coordsize="21600,21600">
            <v:path/>
            <v:fill focussize="0,0"/>
            <v:stroke/>
            <v:imagedata o:title=""/>
            <o:lock v:ext="edit" grouping="f" rotation="f" text="f" aspectratio="f"/>
            <v:textbox>
              <w:txbxContent>
                <w:p w14:paraId="53C1FC3F">
                  <w:pPr>
                    <w:jc w:val="center"/>
                    <w:rPr>
                      <w:rFonts w:hint="eastAsia"/>
                    </w:rPr>
                  </w:pPr>
                  <w:r>
                    <w:rPr>
                      <w:rFonts w:hint="eastAsia"/>
                    </w:rPr>
                    <w:t>总经理</w:t>
                  </w:r>
                </w:p>
              </w:txbxContent>
            </v:textbox>
          </v:shape>
        </w:pict>
      </w:r>
    </w:p>
    <w:p w14:paraId="70A7662E">
      <w:pPr>
        <w:jc w:val="center"/>
        <w:rPr>
          <w:rFonts w:hint="eastAsia"/>
          <w:b/>
          <w:bCs/>
        </w:rPr>
      </w:pPr>
    </w:p>
    <w:p w14:paraId="68D2079B">
      <w:pPr>
        <w:jc w:val="center"/>
        <w:rPr>
          <w:rFonts w:hint="eastAsia"/>
          <w:b/>
          <w:bCs/>
        </w:rPr>
      </w:pPr>
      <w:r>
        <w:rPr>
          <w:b/>
          <w:bCs/>
          <w:sz w:val="20"/>
          <w:lang w:val="zh-CN"/>
        </w:rPr>
        <w:pict>
          <v:line id="Line 52" o:spid="_x0000_s2051" o:spt="20" style="position:absolute;left:0pt;margin-left:207pt;margin-top:10.4pt;height:70.2pt;width:0pt;z-index:251662336;mso-width-relative:page;mso-height-relative:page;" filled="f" coordsize="21600,21600">
            <v:path arrowok="t"/>
            <v:fill on="f" focussize="0,0"/>
            <v:stroke/>
            <v:imagedata o:title=""/>
            <o:lock v:ext="edit" grouping="f" rotation="f" text="f" aspectratio="f"/>
          </v:line>
        </w:pict>
      </w:r>
    </w:p>
    <w:p w14:paraId="40BB1EF4">
      <w:pPr>
        <w:jc w:val="center"/>
        <w:rPr>
          <w:rFonts w:hint="eastAsia"/>
          <w:b/>
          <w:bCs/>
        </w:rPr>
      </w:pPr>
    </w:p>
    <w:p w14:paraId="14A04006">
      <w:pPr>
        <w:jc w:val="center"/>
        <w:rPr>
          <w:rFonts w:hint="eastAsia"/>
          <w:b/>
          <w:bCs/>
        </w:rPr>
      </w:pPr>
      <w:r>
        <w:rPr>
          <w:b/>
          <w:bCs/>
          <w:sz w:val="20"/>
          <w:lang w:val="zh-CN"/>
        </w:rPr>
        <w:pict>
          <v:shape id="Text Box 39" o:spid="_x0000_s2052" o:spt="202" type="#_x0000_t202" style="position:absolute;left:0pt;margin-left:234pt;margin-top:9.65pt;height:23pt;width:103pt;z-index:251661312;mso-width-relative:page;mso-height-relative:page;" coordsize="21600,21600">
            <v:path/>
            <v:fill focussize="0,0"/>
            <v:stroke/>
            <v:imagedata o:title=""/>
            <o:lock v:ext="edit" grouping="f" rotation="f" text="f" aspectratio="f"/>
            <v:textbox>
              <w:txbxContent>
                <w:p w14:paraId="28FEE5D8">
                  <w:pPr>
                    <w:jc w:val="center"/>
                    <w:rPr>
                      <w:rFonts w:hint="eastAsia"/>
                    </w:rPr>
                  </w:pPr>
                  <w:r>
                    <w:rPr>
                      <w:rFonts w:hint="eastAsia"/>
                    </w:rPr>
                    <w:t>管理者代表</w:t>
                  </w:r>
                </w:p>
              </w:txbxContent>
            </v:textbox>
          </v:shape>
        </w:pict>
      </w:r>
    </w:p>
    <w:p w14:paraId="0B53D164">
      <w:pPr>
        <w:jc w:val="center"/>
        <w:rPr>
          <w:rFonts w:hint="eastAsia"/>
          <w:b/>
          <w:bCs/>
        </w:rPr>
      </w:pPr>
      <w:r>
        <w:rPr>
          <w:b/>
          <w:bCs/>
          <w:sz w:val="20"/>
          <w:lang w:val="zh-CN"/>
        </w:rPr>
        <w:pict>
          <v:line id="Line 53" o:spid="_x0000_s2053" o:spt="20" style="position:absolute;left:0pt;margin-left:207pt;margin-top:5.35pt;height:0pt;width:27pt;z-index:251663360;mso-width-relative:page;mso-height-relative:page;" filled="f" coordsize="21600,21600">
            <v:path arrowok="t"/>
            <v:fill on="f" focussize="0,0"/>
            <v:stroke endarrow="block" endarrowwidth="narrow"/>
            <v:imagedata o:title=""/>
            <o:lock v:ext="edit" grouping="f" rotation="f" text="f" aspectratio="f"/>
          </v:line>
        </w:pict>
      </w:r>
    </w:p>
    <w:p w14:paraId="7017B2A5">
      <w:pPr>
        <w:jc w:val="center"/>
        <w:rPr>
          <w:rFonts w:hint="eastAsia"/>
          <w:b/>
          <w:bCs/>
        </w:rPr>
      </w:pPr>
    </w:p>
    <w:p w14:paraId="029F39FC">
      <w:pPr>
        <w:jc w:val="center"/>
        <w:rPr>
          <w:rFonts w:hint="eastAsia"/>
          <w:b/>
          <w:bCs/>
        </w:rPr>
      </w:pPr>
    </w:p>
    <w:p w14:paraId="1BDF3C9B">
      <w:pPr>
        <w:jc w:val="center"/>
        <w:rPr>
          <w:rFonts w:hint="eastAsia"/>
          <w:b/>
          <w:bCs/>
        </w:rPr>
      </w:pPr>
      <w:r>
        <w:rPr>
          <w:b/>
          <w:bCs/>
          <w:sz w:val="20"/>
        </w:rPr>
        <w:pict>
          <v:line id="_x0000_s2055" o:spid="_x0000_s2055" o:spt="20" style="position:absolute;left:0pt;margin-left:134.35pt;margin-top:8.3pt;height:42pt;width:0.05pt;z-index:251674624;mso-width-relative:page;mso-height-relative:page;" filled="f" coordsize="21600,21600">
            <v:path arrowok="t"/>
            <v:fill on="f" focussize="0,0"/>
            <v:stroke endarrow="block" endarrowwidth="narrow"/>
            <v:imagedata o:title=""/>
            <o:lock v:ext="edit" grouping="f" rotation="f" text="f" aspectratio="f"/>
          </v:line>
        </w:pict>
      </w:r>
      <w:r>
        <w:rPr>
          <w:b/>
          <w:bCs/>
          <w:sz w:val="20"/>
          <w:lang w:val="zh-CN"/>
        </w:rPr>
        <w:pict>
          <v:line id="Line 56" o:spid="_x0000_s2056" o:spt="20" style="position:absolute;left:0pt;flip:x;margin-left:377pt;margin-top:6.5pt;height:39.9pt;width:0.1pt;z-index:251668480;mso-width-relative:page;mso-height-relative:page;" filled="f" coordsize="21600,21600">
            <v:path arrowok="t"/>
            <v:fill on="f" focussize="0,0"/>
            <v:stroke endarrow="block" endarrowwidth="narrow"/>
            <v:imagedata o:title=""/>
            <o:lock v:ext="edit" grouping="f" rotation="f" text="f" aspectratio="f"/>
          </v:line>
        </w:pict>
      </w:r>
      <w:r>
        <w:rPr>
          <w:b/>
          <w:bCs/>
          <w:sz w:val="20"/>
          <w:lang w:val="zh-CN"/>
        </w:rPr>
        <w:pict>
          <v:line id="_x0000_s2057" o:spid="_x0000_s2057" o:spt="20" style="position:absolute;left:0pt;flip:x;margin-left:326.75pt;margin-top:6.5pt;height:39.9pt;width:0.1pt;z-index:251675648;mso-width-relative:page;mso-height-relative:page;" filled="f" coordsize="21600,21600">
            <v:path arrowok="t"/>
            <v:fill on="f" focussize="0,0"/>
            <v:stroke endarrow="block" endarrowwidth="narrow"/>
            <v:imagedata o:title=""/>
            <o:lock v:ext="edit" grouping="f" rotation="f" text="f" aspectratio="f"/>
          </v:line>
        </w:pict>
      </w:r>
      <w:r>
        <w:rPr>
          <w:b/>
          <w:bCs/>
          <w:sz w:val="20"/>
        </w:rPr>
        <w:pict>
          <v:line id="_x0000_s2058" o:spid="_x0000_s2058" o:spt="20" style="position:absolute;left:0pt;flip:x;margin-left:440.45pt;margin-top:5.45pt;height:39.9pt;width:0.1pt;z-index:251672576;mso-width-relative:page;mso-height-relative:page;" filled="f" coordsize="21600,21600">
            <v:path arrowok="t"/>
            <v:fill on="f" focussize="0,0"/>
            <v:stroke endarrow="block" endarrowwidth="narrow"/>
            <v:imagedata o:title=""/>
            <o:lock v:ext="edit" grouping="f" rotation="f" text="f" aspectratio="f"/>
          </v:line>
        </w:pict>
      </w:r>
      <w:r>
        <w:rPr>
          <w:b/>
          <w:bCs/>
          <w:sz w:val="20"/>
        </w:rPr>
        <w:pict>
          <v:line id="_x0000_s2059" o:spid="_x0000_s2059" o:spt="20" style="position:absolute;left:0pt;margin-left:257.65pt;margin-top:6.95pt;height:42pt;width:0.05pt;z-index:251669504;mso-width-relative:page;mso-height-relative:page;" filled="f" coordsize="21600,21600">
            <v:path arrowok="t"/>
            <v:fill on="f" focussize="0,0"/>
            <v:stroke endarrow="block" endarrowwidth="narrow"/>
            <v:imagedata o:title=""/>
            <o:lock v:ext="edit" grouping="f" rotation="f" text="f" aspectratio="f"/>
          </v:line>
        </w:pict>
      </w:r>
      <w:r>
        <w:rPr>
          <w:b/>
          <w:bCs/>
          <w:sz w:val="20"/>
          <w:lang w:val="zh-CN"/>
        </w:rPr>
        <w:pict>
          <v:line id="Line 54" o:spid="_x0000_s2060" o:spt="20" style="position:absolute;left:0pt;flip:y;margin-left:58.85pt;margin-top:5.9pt;height:0.85pt;width:384.6pt;z-index:251665408;mso-width-relative:page;mso-height-relative:page;" filled="f" coordsize="21600,21600">
            <v:path arrowok="t"/>
            <v:fill on="f" focussize="0,0"/>
            <v:stroke/>
            <v:imagedata o:title=""/>
            <o:lock v:ext="edit" grouping="f" rotation="f" text="f" aspectratio="f"/>
          </v:line>
        </w:pict>
      </w:r>
      <w:r>
        <w:rPr>
          <w:b/>
          <w:bCs/>
          <w:sz w:val="20"/>
          <w:lang w:val="zh-CN"/>
        </w:rPr>
        <w:pict>
          <v:line id="Line 55" o:spid="_x0000_s2061" o:spt="20" style="position:absolute;left:0pt;margin-left:59.55pt;margin-top:6pt;height:42pt;width:0.05pt;z-index:251666432;mso-width-relative:page;mso-height-relative:page;" filled="f" coordsize="21600,21600">
            <v:path arrowok="t"/>
            <v:fill on="f" focussize="0,0"/>
            <v:stroke endarrow="block" endarrowwidth="narrow"/>
            <v:imagedata o:title=""/>
            <o:lock v:ext="edit" grouping="f" rotation="f" text="f" aspectratio="f"/>
          </v:line>
        </w:pict>
      </w:r>
    </w:p>
    <w:p w14:paraId="77269F20">
      <w:pPr>
        <w:jc w:val="center"/>
        <w:rPr>
          <w:rFonts w:hint="eastAsia"/>
          <w:b/>
          <w:bCs/>
        </w:rPr>
      </w:pPr>
    </w:p>
    <w:p w14:paraId="3C4D48B7">
      <w:pPr>
        <w:jc w:val="center"/>
        <w:rPr>
          <w:rFonts w:hint="eastAsia"/>
          <w:b/>
          <w:bCs/>
        </w:rPr>
      </w:pPr>
    </w:p>
    <w:p w14:paraId="10B209BC">
      <w:pPr>
        <w:jc w:val="center"/>
        <w:rPr>
          <w:rFonts w:hint="eastAsia"/>
          <w:b/>
          <w:bCs/>
        </w:rPr>
      </w:pPr>
      <w:r>
        <w:rPr>
          <w:rFonts w:hint="eastAsia"/>
          <w:b/>
          <w:bCs/>
        </w:rPr>
        <w:pict>
          <v:shape id="_x0000_s2063" o:spid="_x0000_s2063" o:spt="202" type="#_x0000_t202" style="position:absolute;left:0pt;margin-left:117.15pt;margin-top:10.05pt;height:71pt;width:29pt;z-index:251673600;mso-width-relative:page;mso-height-relative:page;" coordsize="21600,21600">
            <v:path/>
            <v:fill focussize="0,0"/>
            <v:stroke/>
            <v:imagedata o:title=""/>
            <o:lock v:ext="edit" grouping="f" rotation="f" text="f" aspectratio="f"/>
            <v:textbox style="layout-flow:vertical-ideographic;">
              <w:txbxContent>
                <w:p w14:paraId="24025765">
                  <w:pPr>
                    <w:spacing w:line="0" w:lineRule="atLeast"/>
                    <w:jc w:val="distribute"/>
                    <w:rPr>
                      <w:rFonts w:hint="default" w:eastAsia="宋体"/>
                      <w:lang w:val="en-US" w:eastAsia="zh-CN"/>
                    </w:rPr>
                  </w:pPr>
                  <w:r>
                    <w:rPr>
                      <w:rFonts w:hint="eastAsia"/>
                      <w:lang w:val="en-US" w:eastAsia="zh-CN"/>
                    </w:rPr>
                    <w:t>技质部</w:t>
                  </w:r>
                </w:p>
              </w:txbxContent>
            </v:textbox>
          </v:shape>
        </w:pict>
      </w:r>
      <w:r>
        <w:rPr>
          <w:b/>
          <w:bCs/>
          <w:sz w:val="20"/>
        </w:rPr>
        <w:pict>
          <v:shape id="_x0000_s2064" o:spid="_x0000_s2064" o:spt="202" type="#_x0000_t202" style="position:absolute;left:0pt;margin-left:310.15pt;margin-top:9.25pt;height:71pt;width:29pt;z-index:251676672;mso-width-relative:page;mso-height-relative:page;" coordsize="21600,21600">
            <v:path/>
            <v:fill focussize="0,0"/>
            <v:stroke/>
            <v:imagedata o:title=""/>
            <o:lock v:ext="edit" grouping="f" rotation="f" text="f" aspectratio="f"/>
            <v:textbox style="layout-flow:vertical-ideographic;">
              <w:txbxContent>
                <w:p w14:paraId="321A4208">
                  <w:pPr>
                    <w:spacing w:line="0" w:lineRule="atLeast"/>
                    <w:jc w:val="distribute"/>
                    <w:rPr>
                      <w:rFonts w:hint="default" w:eastAsia="宋体"/>
                      <w:lang w:val="en-US" w:eastAsia="zh-CN"/>
                    </w:rPr>
                  </w:pPr>
                  <w:r>
                    <w:rPr>
                      <w:rFonts w:hint="eastAsia"/>
                      <w:lang w:val="en-US" w:eastAsia="zh-CN"/>
                    </w:rPr>
                    <w:t>供销部</w:t>
                  </w:r>
                </w:p>
              </w:txbxContent>
            </v:textbox>
          </v:shape>
        </w:pict>
      </w:r>
      <w:r>
        <w:rPr>
          <w:b/>
          <w:bCs/>
          <w:sz w:val="20"/>
        </w:rPr>
        <w:pict>
          <v:shape id="Text Box 50" o:spid="_x0000_s2065" o:spt="202" type="#_x0000_t202" style="position:absolute;left:0pt;margin-left:365.65pt;margin-top:8.5pt;height:71pt;width:29pt;z-index:251670528;mso-width-relative:page;mso-height-relative:page;" coordsize="21600,21600">
            <v:path/>
            <v:fill focussize="0,0"/>
            <v:stroke/>
            <v:imagedata o:title=""/>
            <o:lock v:ext="edit" grouping="f" rotation="f" text="f" aspectratio="f"/>
            <v:textbox style="layout-flow:vertical-ideographic;">
              <w:txbxContent>
                <w:p w14:paraId="0B9FFF2C">
                  <w:pPr>
                    <w:spacing w:line="0" w:lineRule="atLeast"/>
                    <w:jc w:val="distribute"/>
                    <w:rPr>
                      <w:rFonts w:hint="eastAsia" w:eastAsia="宋体"/>
                      <w:lang w:eastAsia="zh-CN"/>
                    </w:rPr>
                  </w:pPr>
                  <w:r>
                    <w:rPr>
                      <w:rFonts w:hint="eastAsia"/>
                      <w:lang w:eastAsia="zh-CN"/>
                    </w:rPr>
                    <w:t>销售部</w:t>
                  </w:r>
                </w:p>
              </w:txbxContent>
            </v:textbox>
          </v:shape>
        </w:pict>
      </w:r>
      <w:r>
        <w:rPr>
          <w:b/>
          <w:bCs/>
          <w:sz w:val="20"/>
        </w:rPr>
        <w:pict>
          <v:shape id="_x0000_s2066" o:spid="_x0000_s2066" o:spt="202" type="#_x0000_t202" style="position:absolute;left:0pt;margin-left:425.45pt;margin-top:8.4pt;height:71pt;width:29pt;z-index:251671552;mso-width-relative:page;mso-height-relative:page;" coordsize="21600,21600">
            <v:path/>
            <v:fill focussize="0,0"/>
            <v:stroke/>
            <v:imagedata o:title=""/>
            <o:lock v:ext="edit" grouping="f" rotation="f" text="f" aspectratio="f"/>
            <v:textbox style="layout-flow:vertical-ideographic;">
              <w:txbxContent>
                <w:p w14:paraId="1B4F8B9A">
                  <w:pPr>
                    <w:spacing w:line="0" w:lineRule="atLeast"/>
                    <w:jc w:val="distribute"/>
                    <w:rPr>
                      <w:rFonts w:hint="eastAsia"/>
                    </w:rPr>
                  </w:pPr>
                  <w:r>
                    <w:rPr>
                      <w:rFonts w:hint="eastAsia"/>
                    </w:rPr>
                    <w:t>财务部</w:t>
                  </w:r>
                </w:p>
              </w:txbxContent>
            </v:textbox>
          </v:shape>
        </w:pict>
      </w:r>
      <w:r>
        <w:rPr>
          <w:b/>
          <w:bCs/>
          <w:sz w:val="20"/>
          <w:lang w:val="zh-CN"/>
        </w:rPr>
        <w:pict>
          <v:shape id="Text Box 48" o:spid="_x0000_s2067" o:spt="202" type="#_x0000_t202" style="position:absolute;left:0pt;margin-left:241.9pt;margin-top:10.95pt;height:71pt;width:29pt;z-index:251667456;mso-width-relative:page;mso-height-relative:page;" coordsize="21600,21600">
            <v:path/>
            <v:fill focussize="0,0"/>
            <v:stroke/>
            <v:imagedata o:title=""/>
            <o:lock v:ext="edit" grouping="f" rotation="f" text="f" aspectratio="f"/>
            <v:textbox style="layout-flow:vertical-ideographic;">
              <w:txbxContent>
                <w:p w14:paraId="16D52EB5">
                  <w:pPr>
                    <w:spacing w:line="0" w:lineRule="atLeast"/>
                    <w:jc w:val="distribute"/>
                    <w:rPr>
                      <w:rFonts w:hint="eastAsia"/>
                    </w:rPr>
                  </w:pPr>
                  <w:r>
                    <w:rPr>
                      <w:rFonts w:hint="eastAsia"/>
                    </w:rPr>
                    <w:t>生产部</w:t>
                  </w:r>
                </w:p>
              </w:txbxContent>
            </v:textbox>
          </v:shape>
        </w:pict>
      </w:r>
      <w:r>
        <w:rPr>
          <w:b/>
          <w:bCs/>
          <w:sz w:val="20"/>
          <w:lang w:val="zh-CN"/>
        </w:rPr>
        <w:pict>
          <v:shape id="Text Box 42" o:spid="_x0000_s2068" o:spt="202" type="#_x0000_t202" style="position:absolute;left:0pt;margin-left:45pt;margin-top:10.95pt;height:71pt;width:29pt;z-index:251664384;mso-width-relative:page;mso-height-relative:page;" coordsize="21600,21600">
            <v:path/>
            <v:fill focussize="0,0"/>
            <v:stroke/>
            <v:imagedata o:title=""/>
            <o:lock v:ext="edit" grouping="f" rotation="f" text="f" aspectratio="f"/>
            <v:textbox style="layout-flow:vertical-ideographic;">
              <w:txbxContent>
                <w:p w14:paraId="196E6F24">
                  <w:pPr>
                    <w:spacing w:line="0" w:lineRule="atLeast"/>
                    <w:jc w:val="distribute"/>
                    <w:rPr>
                      <w:rFonts w:hint="default" w:eastAsia="宋体"/>
                      <w:lang w:val="en-US" w:eastAsia="zh-CN"/>
                    </w:rPr>
                  </w:pPr>
                  <w:r>
                    <w:rPr>
                      <w:rFonts w:hint="eastAsia"/>
                      <w:lang w:val="en-US" w:eastAsia="zh-CN"/>
                    </w:rPr>
                    <w:t>办公室</w:t>
                  </w:r>
                </w:p>
              </w:txbxContent>
            </v:textbox>
          </v:shape>
        </w:pict>
      </w:r>
    </w:p>
    <w:p w14:paraId="20BB75F7">
      <w:pPr>
        <w:jc w:val="center"/>
        <w:rPr>
          <w:rFonts w:hint="eastAsia"/>
          <w:b/>
          <w:bCs/>
        </w:rPr>
      </w:pPr>
    </w:p>
    <w:p w14:paraId="6AA70167">
      <w:pPr>
        <w:jc w:val="center"/>
        <w:rPr>
          <w:rFonts w:hint="eastAsia"/>
          <w:b/>
          <w:bCs/>
        </w:rPr>
      </w:pPr>
    </w:p>
    <w:p w14:paraId="0A599F3D">
      <w:pPr>
        <w:jc w:val="center"/>
        <w:rPr>
          <w:rFonts w:hint="eastAsia"/>
          <w:b/>
          <w:bCs/>
        </w:rPr>
      </w:pPr>
    </w:p>
    <w:p w14:paraId="03FF7C9A">
      <w:pPr>
        <w:jc w:val="center"/>
        <w:rPr>
          <w:rFonts w:hint="eastAsia"/>
          <w:b/>
          <w:bCs/>
        </w:rPr>
      </w:pPr>
    </w:p>
    <w:p w14:paraId="4B805200">
      <w:pPr>
        <w:jc w:val="center"/>
        <w:rPr>
          <w:rFonts w:hint="eastAsia"/>
          <w:b/>
          <w:bCs/>
        </w:rPr>
      </w:pPr>
    </w:p>
    <w:p w14:paraId="1A185992">
      <w:pPr>
        <w:spacing w:line="0" w:lineRule="atLeast"/>
        <w:rPr>
          <w:rFonts w:hint="eastAsia" w:ascii="黑体" w:hAnsi="宋体" w:eastAsia="黑体"/>
          <w:b/>
          <w:color w:val="000000"/>
          <w:sz w:val="36"/>
          <w:szCs w:val="36"/>
          <w:lang w:eastAsia="zh-CN"/>
        </w:rPr>
      </w:pPr>
    </w:p>
    <w:p w14:paraId="068E0AD6">
      <w:pPr>
        <w:spacing w:line="0" w:lineRule="atLeast"/>
        <w:jc w:val="center"/>
        <w:rPr>
          <w:rFonts w:hint="eastAsia" w:ascii="黑体" w:hAnsi="宋体" w:eastAsia="黑体"/>
          <w:b/>
          <w:color w:val="000000"/>
          <w:sz w:val="36"/>
          <w:szCs w:val="36"/>
        </w:rPr>
      </w:pPr>
    </w:p>
    <w:p w14:paraId="526E957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公司同时设立了管理者代表，</w:t>
      </w:r>
      <w:r>
        <w:rPr>
          <w:rFonts w:ascii="宋体" w:hAnsi="宋体"/>
          <w:szCs w:val="21"/>
        </w:rPr>
        <w:t>经公司</w:t>
      </w:r>
      <w:r>
        <w:rPr>
          <w:rFonts w:hint="eastAsia" w:ascii="宋体" w:hAnsi="宋体"/>
          <w:szCs w:val="21"/>
        </w:rPr>
        <w:t>总经理</w:t>
      </w:r>
      <w:r>
        <w:rPr>
          <w:rFonts w:ascii="宋体" w:hAnsi="宋体"/>
          <w:szCs w:val="21"/>
        </w:rPr>
        <w:t>任命、并授权其在质量管理体系方面指挥和控制系统。负责推动公司质量方针、目标、战略的具体实施、评价和改进。</w:t>
      </w:r>
      <w:r>
        <w:rPr>
          <w:rFonts w:hint="eastAsia" w:cs="仿宋_GB2312" w:asciiTheme="minorEastAsia" w:hAnsiTheme="minorEastAsia" w:eastAsiaTheme="minorEastAsia"/>
          <w:color w:val="000000" w:themeColor="text1"/>
          <w:szCs w:val="21"/>
        </w:rPr>
        <w:t>履行如下的职责：</w:t>
      </w:r>
    </w:p>
    <w:p w14:paraId="54849ED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1）参与品质战略的制订、评审确定品质战略；</w:t>
      </w:r>
    </w:p>
    <w:p w14:paraId="3FB72B9B">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2)</w:t>
      </w:r>
      <w:r>
        <w:rPr>
          <w:rFonts w:hint="eastAsia" w:ascii="宋体" w:hAnsi="宋体" w:cs="宋体"/>
          <w:color w:val="000000"/>
          <w:kern w:val="0"/>
          <w:szCs w:val="21"/>
        </w:rPr>
        <w:t xml:space="preserve">负责按照ISO </w:t>
      </w:r>
      <w:r>
        <w:rPr>
          <w:rFonts w:ascii="宋体" w:hAnsi="宋体" w:cs="宋体"/>
          <w:color w:val="000000"/>
          <w:kern w:val="0"/>
          <w:szCs w:val="21"/>
        </w:rPr>
        <w:t>9001</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rPr>
        <w:t>15</w:t>
      </w:r>
      <w:r>
        <w:rPr>
          <w:rFonts w:ascii="宋体" w:hAnsi="宋体" w:cs="宋体"/>
          <w:color w:val="000000"/>
          <w:kern w:val="0"/>
          <w:szCs w:val="21"/>
        </w:rPr>
        <w:t xml:space="preserve"> </w:t>
      </w:r>
      <w:r>
        <w:rPr>
          <w:rFonts w:hint="eastAsia" w:ascii="宋体" w:hAnsi="宋体" w:cs="宋体"/>
          <w:color w:val="000000"/>
          <w:kern w:val="0"/>
          <w:szCs w:val="21"/>
        </w:rPr>
        <w:t>、ISO 1</w:t>
      </w:r>
      <w:r>
        <w:rPr>
          <w:rFonts w:ascii="宋体" w:hAnsi="宋体" w:cs="宋体"/>
          <w:color w:val="000000"/>
          <w:kern w:val="0"/>
          <w:szCs w:val="21"/>
        </w:rPr>
        <w:t>4001</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rPr>
        <w:t>15及</w:t>
      </w:r>
      <w:r>
        <w:rPr>
          <w:rFonts w:hint="eastAsia" w:ascii="宋体" w:hAnsi="宋体" w:cs="宋体"/>
          <w:color w:val="000000"/>
          <w:kern w:val="0"/>
          <w:szCs w:val="21"/>
          <w:lang w:val="en-US" w:eastAsia="zh-CN"/>
        </w:rPr>
        <w:t>ISO 45</w:t>
      </w:r>
      <w:r>
        <w:rPr>
          <w:rFonts w:ascii="宋体" w:hAnsi="宋体" w:cs="宋体"/>
          <w:color w:val="000000"/>
          <w:kern w:val="0"/>
          <w:szCs w:val="21"/>
        </w:rPr>
        <w:t>001</w:t>
      </w:r>
      <w:r>
        <w:rPr>
          <w:rFonts w:hint="eastAsia" w:ascii="宋体" w:hAnsi="宋体" w:cs="宋体"/>
          <w:color w:val="000000"/>
          <w:kern w:val="0"/>
          <w:szCs w:val="21"/>
        </w:rPr>
        <w:t>：</w:t>
      </w:r>
      <w:r>
        <w:rPr>
          <w:rFonts w:ascii="宋体" w:hAnsi="宋体" w:cs="宋体"/>
          <w:color w:val="000000"/>
          <w:kern w:val="0"/>
          <w:szCs w:val="21"/>
        </w:rPr>
        <w:t>20</w:t>
      </w:r>
      <w:r>
        <w:rPr>
          <w:rFonts w:hint="eastAsia" w:ascii="宋体" w:hAnsi="宋体" w:cs="宋体"/>
          <w:color w:val="000000"/>
          <w:kern w:val="0"/>
          <w:szCs w:val="21"/>
          <w:lang w:val="en-US" w:eastAsia="zh-CN"/>
        </w:rPr>
        <w:t>18</w:t>
      </w:r>
      <w:r>
        <w:rPr>
          <w:rFonts w:hint="eastAsia" w:ascii="宋体" w:hAnsi="宋体" w:cs="宋体"/>
          <w:color w:val="000000"/>
          <w:kern w:val="0"/>
          <w:szCs w:val="21"/>
        </w:rPr>
        <w:t>标准的要求建立、实施和保持适合公司实际情况的质量</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职业健康安全管理体系，并使之持续有效运行</w:t>
      </w:r>
      <w:r>
        <w:rPr>
          <w:rFonts w:hint="eastAsia" w:cs="仿宋_GB2312" w:asciiTheme="minorEastAsia" w:hAnsiTheme="minorEastAsia" w:eastAsiaTheme="minorEastAsia"/>
          <w:color w:val="000000" w:themeColor="text1"/>
          <w:szCs w:val="21"/>
        </w:rPr>
        <w:t>；</w:t>
      </w:r>
    </w:p>
    <w:p w14:paraId="18E48417">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3)</w:t>
      </w:r>
      <w:r>
        <w:rPr>
          <w:rFonts w:hint="eastAsia" w:ascii="宋体" w:hAnsi="宋体" w:cs="宋体"/>
          <w:color w:val="000000"/>
          <w:kern w:val="0"/>
          <w:szCs w:val="21"/>
        </w:rPr>
        <w:t>负责组织制定公司年度质量目标</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职业健康安全目标与指标，确保提高对满足“相关方要求”的意识形成，并考核各部门年度目标与指标完成情况</w:t>
      </w:r>
      <w:r>
        <w:rPr>
          <w:rFonts w:hint="eastAsia" w:cs="仿宋_GB2312" w:asciiTheme="minorEastAsia" w:hAnsiTheme="minorEastAsia" w:eastAsiaTheme="minorEastAsia"/>
          <w:color w:val="000000" w:themeColor="text1"/>
          <w:szCs w:val="21"/>
        </w:rPr>
        <w:t>；</w:t>
      </w:r>
    </w:p>
    <w:p w14:paraId="20DBF8E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4)</w:t>
      </w:r>
      <w:r>
        <w:rPr>
          <w:rFonts w:hint="eastAsia" w:ascii="宋体" w:hAnsi="宋体" w:cs="宋体"/>
          <w:color w:val="000000"/>
          <w:kern w:val="0"/>
          <w:szCs w:val="21"/>
        </w:rPr>
        <w:t>负责向总经理报告质量</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职业健康安全管理体系的业绩和改进的需求</w:t>
      </w:r>
      <w:r>
        <w:rPr>
          <w:rFonts w:hint="eastAsia" w:cs="仿宋_GB2312" w:asciiTheme="minorEastAsia" w:hAnsiTheme="minorEastAsia" w:eastAsiaTheme="minorEastAsia"/>
          <w:color w:val="000000" w:themeColor="text1"/>
          <w:szCs w:val="21"/>
        </w:rPr>
        <w:t>；</w:t>
      </w:r>
    </w:p>
    <w:p w14:paraId="3A2D609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4）</w:t>
      </w:r>
      <w:r>
        <w:rPr>
          <w:rFonts w:hint="eastAsia" w:ascii="宋体" w:hAnsi="宋体" w:cs="宋体"/>
          <w:color w:val="000000"/>
          <w:kern w:val="0"/>
          <w:szCs w:val="21"/>
        </w:rPr>
        <w:t>确保在全公司内提高满足顾客要求和法律法规的意识</w:t>
      </w:r>
      <w:r>
        <w:rPr>
          <w:rFonts w:hint="eastAsia" w:cs="仿宋_GB2312" w:asciiTheme="minorEastAsia" w:hAnsiTheme="minorEastAsia" w:eastAsiaTheme="minorEastAsia"/>
          <w:color w:val="000000" w:themeColor="text1"/>
          <w:szCs w:val="21"/>
        </w:rPr>
        <w:t>；</w:t>
      </w:r>
    </w:p>
    <w:p w14:paraId="74F46FBF">
      <w:pPr>
        <w:spacing w:line="312" w:lineRule="auto"/>
        <w:ind w:firstLine="420" w:firstLineChars="200"/>
        <w:rPr>
          <w:rFonts w:cs="仿宋_GB2312" w:asciiTheme="minorEastAsia" w:hAnsiTheme="minorEastAsia"/>
          <w:color w:val="000000" w:themeColor="text1"/>
          <w:szCs w:val="21"/>
        </w:rPr>
      </w:pPr>
      <w:r>
        <w:rPr>
          <w:rFonts w:hint="eastAsia" w:cs="仿宋_GB2312" w:asciiTheme="minorEastAsia" w:hAnsiTheme="minorEastAsia" w:eastAsiaTheme="minorEastAsia"/>
          <w:color w:val="000000" w:themeColor="text1"/>
          <w:szCs w:val="21"/>
        </w:rPr>
        <w:t>5）</w:t>
      </w:r>
      <w:r>
        <w:rPr>
          <w:rFonts w:hint="eastAsia" w:ascii="宋体" w:hAnsi="宋体" w:cs="宋体"/>
          <w:color w:val="000000"/>
          <w:kern w:val="0"/>
          <w:szCs w:val="21"/>
        </w:rPr>
        <w:t>代表公司就质量</w:t>
      </w:r>
      <w:r>
        <w:rPr>
          <w:rFonts w:ascii="宋体" w:hAnsi="宋体" w:cs="宋体"/>
          <w:color w:val="000000"/>
          <w:kern w:val="0"/>
          <w:szCs w:val="21"/>
        </w:rPr>
        <w:t>/</w:t>
      </w:r>
      <w:r>
        <w:rPr>
          <w:rFonts w:hint="eastAsia" w:ascii="宋体" w:hAnsi="宋体" w:cs="宋体"/>
          <w:color w:val="000000"/>
          <w:kern w:val="0"/>
          <w:szCs w:val="21"/>
        </w:rPr>
        <w:t>环境</w:t>
      </w:r>
      <w:r>
        <w:rPr>
          <w:rFonts w:ascii="宋体" w:hAnsi="宋体" w:cs="宋体"/>
          <w:color w:val="000000"/>
          <w:kern w:val="0"/>
          <w:szCs w:val="21"/>
        </w:rPr>
        <w:t>/</w:t>
      </w:r>
      <w:r>
        <w:rPr>
          <w:rFonts w:hint="eastAsia" w:ascii="宋体" w:hAnsi="宋体" w:cs="宋体"/>
          <w:color w:val="000000"/>
          <w:kern w:val="0"/>
          <w:szCs w:val="21"/>
        </w:rPr>
        <w:t>职业健康安全管理体系有关事宜与外部各方联络</w:t>
      </w:r>
      <w:r>
        <w:rPr>
          <w:rFonts w:hint="eastAsia" w:cs="仿宋_GB2312" w:asciiTheme="minorEastAsia" w:hAnsiTheme="minorEastAsia" w:eastAsiaTheme="minorEastAsia"/>
          <w:color w:val="000000" w:themeColor="text1"/>
          <w:szCs w:val="21"/>
        </w:rPr>
        <w:t>。</w:t>
      </w:r>
    </w:p>
    <w:p w14:paraId="59635E1F">
      <w:pPr>
        <w:spacing w:line="312" w:lineRule="auto"/>
        <w:ind w:right="280" w:firstLine="422" w:firstLineChars="200"/>
        <w:rPr>
          <w:rFonts w:ascii="宋体" w:hAnsi="宋体" w:cs="宋体"/>
          <w:kern w:val="0"/>
          <w:szCs w:val="21"/>
        </w:rPr>
      </w:pPr>
      <w:r>
        <w:rPr>
          <w:rFonts w:hint="eastAsia" w:ascii="宋体" w:hAnsi="宋体"/>
          <w:b/>
          <w:szCs w:val="21"/>
          <w:lang w:val="en-US" w:eastAsia="zh-CN"/>
        </w:rPr>
        <w:t>3</w:t>
      </w:r>
      <w:r>
        <w:rPr>
          <w:rFonts w:hint="eastAsia" w:ascii="宋体" w:hAnsi="宋体"/>
          <w:b/>
          <w:szCs w:val="21"/>
        </w:rPr>
        <w:t>、</w:t>
      </w:r>
      <w:r>
        <w:rPr>
          <w:rFonts w:hint="eastAsia" w:ascii="宋体" w:hAnsi="宋体"/>
          <w:b/>
          <w:szCs w:val="21"/>
          <w:lang w:val="en-US" w:eastAsia="zh-CN"/>
        </w:rPr>
        <w:t>技质部</w:t>
      </w:r>
      <w:r>
        <w:rPr>
          <w:rFonts w:hint="eastAsia" w:ascii="宋体" w:hAnsi="宋体"/>
          <w:b/>
          <w:szCs w:val="21"/>
        </w:rPr>
        <w:t>部门职责：</w:t>
      </w:r>
    </w:p>
    <w:p w14:paraId="6059E3BD">
      <w:pPr>
        <w:numPr>
          <w:ilvl w:val="0"/>
          <w:numId w:val="3"/>
        </w:numPr>
        <w:tabs>
          <w:tab w:val="left" w:pos="840"/>
        </w:tabs>
        <w:spacing w:line="390" w:lineRule="exact"/>
        <w:ind w:left="425" w:leftChars="0" w:hanging="5" w:firstLineChars="0"/>
        <w:rPr>
          <w:spacing w:val="-6"/>
        </w:rPr>
      </w:pPr>
      <w:r>
        <w:rPr>
          <w:rFonts w:hint="eastAsia"/>
          <w:spacing w:val="-6"/>
        </w:rPr>
        <w:t>负责公司日常质量管理和产品检验工作，协助管理者代表建立、健全和改进公司的质量/环境/职业/健康安全/测量管理体系；</w:t>
      </w:r>
    </w:p>
    <w:p w14:paraId="18899D37">
      <w:pPr>
        <w:numPr>
          <w:ilvl w:val="0"/>
          <w:numId w:val="3"/>
        </w:numPr>
        <w:tabs>
          <w:tab w:val="left" w:pos="840"/>
        </w:tabs>
        <w:spacing w:line="390" w:lineRule="exact"/>
        <w:ind w:left="425" w:leftChars="0" w:hanging="5" w:firstLineChars="0"/>
      </w:pPr>
      <w:r>
        <w:rPr>
          <w:rFonts w:hint="eastAsia"/>
        </w:rPr>
        <w:t xml:space="preserve">负责年度内审方案的制定，经批准后实施；   </w:t>
      </w:r>
    </w:p>
    <w:p w14:paraId="15A68AAE">
      <w:pPr>
        <w:numPr>
          <w:ilvl w:val="0"/>
          <w:numId w:val="3"/>
        </w:numPr>
        <w:tabs>
          <w:tab w:val="left" w:pos="840"/>
        </w:tabs>
        <w:spacing w:line="390" w:lineRule="exact"/>
        <w:ind w:left="425" w:leftChars="0" w:hanging="5" w:firstLineChars="0"/>
      </w:pPr>
      <w:r>
        <w:rPr>
          <w:rFonts w:hint="eastAsia"/>
        </w:rPr>
        <w:t>负责及时处理质量</w:t>
      </w:r>
      <w:r>
        <w:rPr>
          <w:rFonts w:hint="eastAsia"/>
          <w:spacing w:val="-6"/>
        </w:rPr>
        <w:t>/环境/职业健康安全管理/测量管理</w:t>
      </w:r>
      <w:r>
        <w:rPr>
          <w:rFonts w:hint="eastAsia"/>
        </w:rPr>
        <w:t>体系运行过程中的问题，以确保管理体系的正常、有效运行和持续改进；</w:t>
      </w:r>
    </w:p>
    <w:p w14:paraId="605DCB35">
      <w:pPr>
        <w:numPr>
          <w:ilvl w:val="0"/>
          <w:numId w:val="3"/>
        </w:numPr>
        <w:tabs>
          <w:tab w:val="left" w:pos="840"/>
        </w:tabs>
        <w:spacing w:line="390" w:lineRule="exact"/>
        <w:ind w:left="425" w:leftChars="0" w:hanging="5" w:firstLineChars="0"/>
      </w:pPr>
      <w:r>
        <w:rPr>
          <w:rFonts w:hint="eastAsia"/>
        </w:rPr>
        <w:t>负责监督检查公司质量</w:t>
      </w:r>
      <w:r>
        <w:rPr>
          <w:rFonts w:hint="eastAsia"/>
          <w:spacing w:val="-6"/>
        </w:rPr>
        <w:t>/环境/职业健康安全</w:t>
      </w:r>
      <w:r>
        <w:rPr>
          <w:rFonts w:hint="eastAsia"/>
        </w:rPr>
        <w:t>管理</w:t>
      </w:r>
      <w:r>
        <w:rPr>
          <w:rFonts w:hint="eastAsia"/>
          <w:spacing w:val="-6"/>
        </w:rPr>
        <w:t>/测量管理</w:t>
      </w:r>
      <w:r>
        <w:rPr>
          <w:rFonts w:hint="eastAsia"/>
        </w:rPr>
        <w:t>体系文件的执行情况，并对管理体系文件实施的有效性负责；</w:t>
      </w:r>
    </w:p>
    <w:p w14:paraId="676EC98A">
      <w:pPr>
        <w:numPr>
          <w:ilvl w:val="0"/>
          <w:numId w:val="3"/>
        </w:numPr>
        <w:tabs>
          <w:tab w:val="left" w:pos="840"/>
        </w:tabs>
        <w:spacing w:line="390" w:lineRule="exact"/>
        <w:ind w:left="425" w:leftChars="0" w:hanging="5" w:firstLineChars="0"/>
      </w:pPr>
      <w:r>
        <w:rPr>
          <w:rFonts w:hint="eastAsia"/>
        </w:rPr>
        <w:t>负责组织计量设备的建档、周期检定、维修、送检等管理工作；</w:t>
      </w:r>
    </w:p>
    <w:p w14:paraId="0DE80715">
      <w:pPr>
        <w:numPr>
          <w:ilvl w:val="0"/>
          <w:numId w:val="3"/>
        </w:numPr>
        <w:tabs>
          <w:tab w:val="left" w:pos="840"/>
        </w:tabs>
        <w:spacing w:line="390" w:lineRule="exact"/>
        <w:ind w:left="425" w:leftChars="0" w:hanging="5" w:firstLineChars="0"/>
      </w:pPr>
      <w:r>
        <w:rPr>
          <w:rFonts w:hint="eastAsia"/>
        </w:rPr>
        <w:t xml:space="preserve">负责公司内部及外部质量信息的收集并处理，视情况采取纠正和预防措施； </w:t>
      </w:r>
    </w:p>
    <w:p w14:paraId="669C120B">
      <w:pPr>
        <w:numPr>
          <w:ilvl w:val="0"/>
          <w:numId w:val="3"/>
        </w:numPr>
        <w:tabs>
          <w:tab w:val="left" w:pos="840"/>
        </w:tabs>
        <w:spacing w:line="390" w:lineRule="exact"/>
        <w:ind w:left="425" w:leftChars="0" w:hanging="5" w:firstLineChars="0"/>
      </w:pPr>
      <w:r>
        <w:rPr>
          <w:rFonts w:hint="eastAsia"/>
        </w:rPr>
        <w:t>负责对产品质量进行统计分析，负责组织质量指标的统计、审核、考核等工作；</w:t>
      </w:r>
    </w:p>
    <w:p w14:paraId="0150AAB7">
      <w:pPr>
        <w:numPr>
          <w:ilvl w:val="0"/>
          <w:numId w:val="3"/>
        </w:numPr>
        <w:tabs>
          <w:tab w:val="left" w:pos="840"/>
        </w:tabs>
        <w:spacing w:line="390" w:lineRule="exact"/>
        <w:ind w:left="425" w:leftChars="0" w:hanging="5" w:firstLineChars="0"/>
      </w:pPr>
      <w:r>
        <w:rPr>
          <w:rFonts w:hint="eastAsia"/>
        </w:rPr>
        <w:t>负责管理评审计划的制定，协助总裁完成管理评审；</w:t>
      </w:r>
    </w:p>
    <w:p w14:paraId="098259FB">
      <w:pPr>
        <w:numPr>
          <w:ilvl w:val="0"/>
          <w:numId w:val="3"/>
        </w:numPr>
        <w:tabs>
          <w:tab w:val="left" w:pos="840"/>
        </w:tabs>
        <w:spacing w:line="390" w:lineRule="exact"/>
        <w:ind w:left="425" w:leftChars="0" w:hanging="5" w:firstLineChars="0"/>
      </w:pPr>
      <w:r>
        <w:rPr>
          <w:rFonts w:hint="eastAsia"/>
        </w:rPr>
        <w:t>负责质量记录归档管理；</w:t>
      </w:r>
    </w:p>
    <w:p w14:paraId="5AFC1F82">
      <w:pPr>
        <w:numPr>
          <w:ilvl w:val="0"/>
          <w:numId w:val="3"/>
        </w:numPr>
        <w:tabs>
          <w:tab w:val="left" w:pos="840"/>
        </w:tabs>
        <w:spacing w:line="390" w:lineRule="exact"/>
        <w:ind w:left="425" w:leftChars="0" w:hanging="5" w:firstLineChars="0"/>
      </w:pPr>
      <w:r>
        <w:rPr>
          <w:rFonts w:hint="eastAsia"/>
        </w:rPr>
        <w:t>负责组织质量事故的分析、处理工作、提出质量奖惩意见，按月上报质量月报表；</w:t>
      </w:r>
    </w:p>
    <w:p w14:paraId="6057176D">
      <w:pPr>
        <w:numPr>
          <w:ilvl w:val="0"/>
          <w:numId w:val="3"/>
        </w:numPr>
        <w:tabs>
          <w:tab w:val="left" w:pos="840"/>
        </w:tabs>
        <w:spacing w:line="390" w:lineRule="exact"/>
        <w:ind w:left="425" w:leftChars="0" w:hanging="5" w:firstLineChars="0"/>
      </w:pPr>
      <w:r>
        <w:rPr>
          <w:rFonts w:hint="eastAsia"/>
        </w:rPr>
        <w:t>根据质量波动情况，不定期召开质量分析会；</w:t>
      </w:r>
    </w:p>
    <w:p w14:paraId="29DD23AC">
      <w:pPr>
        <w:numPr>
          <w:ilvl w:val="0"/>
          <w:numId w:val="3"/>
        </w:numPr>
        <w:tabs>
          <w:tab w:val="left" w:pos="840"/>
        </w:tabs>
        <w:spacing w:line="390" w:lineRule="exact"/>
        <w:ind w:left="425" w:leftChars="0" w:hanging="5" w:firstLineChars="0"/>
      </w:pPr>
      <w:r>
        <w:rPr>
          <w:rFonts w:hint="eastAsia"/>
        </w:rPr>
        <w:t>负责对不合格品进行评审处置及重大质量事故进行处理；</w:t>
      </w:r>
    </w:p>
    <w:p w14:paraId="644FA622">
      <w:pPr>
        <w:numPr>
          <w:ilvl w:val="0"/>
          <w:numId w:val="3"/>
        </w:numPr>
        <w:tabs>
          <w:tab w:val="left" w:pos="840"/>
        </w:tabs>
        <w:spacing w:line="390" w:lineRule="exact"/>
        <w:ind w:left="425" w:leftChars="0" w:hanging="5" w:firstLineChars="0"/>
      </w:pPr>
      <w:r>
        <w:rPr>
          <w:rFonts w:hint="eastAsia"/>
        </w:rPr>
        <w:t>对电线电缆主要原材料的生产单位进行调查并参与合格供方评定；</w:t>
      </w:r>
    </w:p>
    <w:p w14:paraId="752CE1A1">
      <w:pPr>
        <w:numPr>
          <w:ilvl w:val="0"/>
          <w:numId w:val="3"/>
        </w:numPr>
        <w:tabs>
          <w:tab w:val="left" w:pos="840"/>
        </w:tabs>
        <w:spacing w:line="390" w:lineRule="exact"/>
        <w:ind w:left="425" w:leftChars="0" w:hanging="5" w:firstLineChars="0"/>
      </w:pPr>
      <w:r>
        <w:rPr>
          <w:rFonts w:hint="eastAsia"/>
        </w:rPr>
        <w:t>负责公司</w:t>
      </w:r>
      <w:r>
        <w:rPr>
          <w:rFonts w:hint="eastAsia"/>
          <w:spacing w:val="-6"/>
        </w:rPr>
        <w:t>质量/环境/职业/健康安全/测量管理体系运行过程中异常信息的收集和处理；</w:t>
      </w:r>
    </w:p>
    <w:p w14:paraId="28AEABF9">
      <w:pPr>
        <w:numPr>
          <w:ilvl w:val="0"/>
          <w:numId w:val="3"/>
        </w:numPr>
        <w:tabs>
          <w:tab w:val="left" w:pos="840"/>
        </w:tabs>
        <w:spacing w:line="390" w:lineRule="exact"/>
        <w:ind w:left="425" w:leftChars="0" w:hanging="5" w:firstLineChars="0"/>
      </w:pPr>
      <w:r>
        <w:rPr>
          <w:rFonts w:hint="eastAsia"/>
        </w:rPr>
        <w:t>对入公司新员工进行质量管理基础知识、电线电缆基础知识培训；对执行、验证人员进行上岗应知培训；</w:t>
      </w:r>
    </w:p>
    <w:p w14:paraId="45D9E757">
      <w:pPr>
        <w:numPr>
          <w:ilvl w:val="0"/>
          <w:numId w:val="3"/>
        </w:numPr>
        <w:tabs>
          <w:tab w:val="left" w:pos="840"/>
        </w:tabs>
        <w:spacing w:line="390" w:lineRule="exact"/>
        <w:ind w:left="425" w:leftChars="0" w:hanging="5" w:firstLineChars="0"/>
      </w:pPr>
      <w:r>
        <w:rPr>
          <w:rFonts w:hint="eastAsia"/>
        </w:rPr>
        <w:t>对检验员、计量管理员、质量管理员进行业务培训；</w:t>
      </w:r>
    </w:p>
    <w:p w14:paraId="6B89A10B">
      <w:pPr>
        <w:numPr>
          <w:ilvl w:val="0"/>
          <w:numId w:val="3"/>
        </w:numPr>
        <w:tabs>
          <w:tab w:val="left" w:pos="840"/>
        </w:tabs>
        <w:spacing w:line="390" w:lineRule="exact"/>
        <w:ind w:left="425" w:leftChars="0" w:hanging="5" w:firstLineChars="0"/>
      </w:pPr>
      <w:r>
        <w:rPr>
          <w:rFonts w:hint="eastAsia"/>
        </w:rPr>
        <w:t>检验员、计量管理员及质量管理员的工作质量进行监督并考核；</w:t>
      </w:r>
    </w:p>
    <w:p w14:paraId="76F68606">
      <w:pPr>
        <w:spacing w:line="360" w:lineRule="auto"/>
        <w:ind w:firstLine="482" w:firstLineChars="200"/>
        <w:outlineLvl w:val="1"/>
        <w:rPr>
          <w:rFonts w:cs="仿宋_GB2312" w:asciiTheme="minorEastAsia" w:hAnsiTheme="minorEastAsia" w:eastAsiaTheme="minorEastAsia"/>
          <w:b/>
          <w:color w:val="000000" w:themeColor="text1"/>
          <w:sz w:val="24"/>
        </w:rPr>
      </w:pPr>
      <w:bookmarkStart w:id="19" w:name="_Toc29349"/>
      <w:r>
        <w:rPr>
          <w:rFonts w:hint="eastAsia" w:cs="仿宋_GB2312" w:asciiTheme="minorEastAsia" w:hAnsiTheme="minorEastAsia" w:eastAsiaTheme="minorEastAsia"/>
          <w:b/>
          <w:color w:val="000000" w:themeColor="text1"/>
          <w:sz w:val="24"/>
        </w:rPr>
        <w:t>（二）质量管理体系</w:t>
      </w:r>
      <w:bookmarkEnd w:id="19"/>
    </w:p>
    <w:p w14:paraId="24D5E1A0">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1、质量方针与目标</w:t>
      </w:r>
    </w:p>
    <w:p w14:paraId="7DAA94FF">
      <w:pPr>
        <w:spacing w:line="312" w:lineRule="auto"/>
        <w:ind w:firstLine="420" w:firstLineChars="200"/>
        <w:rPr>
          <w:rFonts w:asciiTheme="minorEastAsia" w:hAnsiTheme="minorEastAsia" w:eastAsiaTheme="minorEastAsia"/>
          <w:color w:val="000000"/>
          <w:spacing w:val="-2"/>
          <w:szCs w:val="21"/>
        </w:rPr>
      </w:pPr>
      <w:r>
        <w:rPr>
          <w:rFonts w:hint="eastAsia" w:cs="仿宋_GB2312" w:asciiTheme="minorEastAsia" w:hAnsiTheme="minorEastAsia" w:eastAsiaTheme="minorEastAsia"/>
          <w:color w:val="000000" w:themeColor="text1"/>
          <w:szCs w:val="21"/>
        </w:rPr>
        <w:t>公司建立并实施质量管理体系，</w:t>
      </w:r>
      <w:r>
        <w:rPr>
          <w:rFonts w:hint="eastAsia" w:cs="仿宋_GB2312" w:asciiTheme="minorEastAsia" w:hAnsiTheme="minorEastAsia" w:eastAsiaTheme="minorEastAsia"/>
          <w:color w:val="000000" w:themeColor="text1"/>
          <w:szCs w:val="21"/>
          <w:highlight w:val="none"/>
        </w:rPr>
        <w:t>制</w:t>
      </w:r>
      <w:r>
        <w:rPr>
          <w:rFonts w:hint="eastAsia" w:cs="仿宋_GB2312" w:asciiTheme="minorEastAsia" w:hAnsiTheme="minorEastAsia" w:eastAsiaTheme="minorEastAsia"/>
          <w:color w:val="000000" w:themeColor="text1"/>
          <w:szCs w:val="21"/>
        </w:rPr>
        <w:t>定了“</w:t>
      </w:r>
      <w:r>
        <w:rPr>
          <w:rFonts w:hint="eastAsia" w:cs="仿宋_GB2312" w:asciiTheme="minorEastAsia" w:hAnsiTheme="minorEastAsia" w:eastAsiaTheme="minorEastAsia"/>
          <w:color w:val="000000" w:themeColor="text1"/>
          <w:szCs w:val="21"/>
          <w:lang w:eastAsia="zh-CN"/>
        </w:rPr>
        <w:t>科学管理，提供顾客满意</w:t>
      </w:r>
      <w:r>
        <w:rPr>
          <w:rFonts w:hint="eastAsia" w:cs="仿宋_GB2312" w:asciiTheme="minorEastAsia" w:hAnsiTheme="minorEastAsia" w:eastAsiaTheme="minorEastAsia"/>
          <w:color w:val="000000" w:themeColor="text1"/>
          <w:szCs w:val="21"/>
        </w:rPr>
        <w:t>”的质量方针；并以：“1）合同履约率100%；2）顾客满意率≥95%”的质量目标。为持续改善公司质量管理体系，公司每年均制定内审计划，实施质量管理体系内部审核。通过内部审核，寻找改善的机会。同时，公司也会充分利用二方审核、三方审核的机会，改进质量管理体系的有效性。</w:t>
      </w:r>
    </w:p>
    <w:p w14:paraId="6FD49B34">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导入卓越绩效管理模式，推行全面质量管理，使公司质量管理体系从持续改进，向追求卓越看齐，建立了以公司战略为核心，以GB/T</w:t>
      </w:r>
      <w:r>
        <w:rPr>
          <w:rFonts w:hint="eastAsia" w:cs="仿宋_GB2312" w:asciiTheme="minorEastAsia" w:hAnsiTheme="minorEastAsia" w:eastAsiaTheme="minorEastAsia"/>
          <w:color w:val="000000" w:themeColor="text1"/>
          <w:szCs w:val="21"/>
          <w:lang w:val="en-US" w:eastAsia="zh-CN"/>
        </w:rPr>
        <w:t xml:space="preserve"> </w:t>
      </w:r>
      <w:r>
        <w:rPr>
          <w:rFonts w:hint="eastAsia" w:cs="仿宋_GB2312" w:asciiTheme="minorEastAsia" w:hAnsiTheme="minorEastAsia" w:eastAsiaTheme="minorEastAsia"/>
          <w:color w:val="000000" w:themeColor="text1"/>
          <w:szCs w:val="21"/>
        </w:rPr>
        <w:t>19580卓越绩效模式为框架的整合型全面质量管理体系。满足顾客、员工、供应商、社会和合作伙伴五大利益相关方的要求，在公司各层次建立了相应的战略规划、质量目标。以公司绩效考核体系为依托，设立了质量考核目标和质量问责制。</w:t>
      </w:r>
    </w:p>
    <w:p w14:paraId="4347D63F">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2、质量教育</w:t>
      </w:r>
    </w:p>
    <w:p w14:paraId="44F12D98">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体系运行过程中，公司基于PDCA的系统方法，运用各种科学、有效的工具，测量、分析、改进质量管理体系的有效性及各部门、各层次的绩效，并采用标杆对比和学习的方式，不断修正个人工作思想和意识，确保实现个人和公司整体目标。公司内部建立培训制度，根据公司的具体情况，开展各项教育培训工作；对外，积极与顾客和政府职能部门及各类培训机构外部进行沟通交流，适时邀请专家对公司员工进行专项培训。公司定期结合体系运行情况和质量实际表现情况，对各级员工开展有针对性的质量教育，对质量控制点进行专项管理，确保制造过程产品质量的一致性。</w:t>
      </w:r>
    </w:p>
    <w:p w14:paraId="7DB4F6A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为牢固树立全体员工的诚信意识，公司每年年初制定本年度的质量诚信教育培训计划，实行质量诚信教育培训。由公司组织一级教育工作，各部门负责人根据公司要求，编制教育培训计划和内容，认真组织实施下属的教育培训，各班组长负责员工的诚信宣传教育工作。公司通过网站、企业微信群进行传达，利用早会等多种方式对企业员工实施质量诚信教育。公司对在质量诚信教育培训中成绩优异的人员给予一定的奖励，通过培训后在工作岗位上起着模范带头或成绩突出的员工也给予一定奖励，同时在员工中宣传和推广经验。对不按时参加质量诚信教育培训或未通过培训考核的员工，给予一定的处罚。</w:t>
      </w:r>
    </w:p>
    <w:p w14:paraId="4864CCA7">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3、质量法规及责任制度</w:t>
      </w:r>
    </w:p>
    <w:p w14:paraId="42840334">
      <w:pPr>
        <w:spacing w:line="312" w:lineRule="auto"/>
        <w:ind w:firstLine="420" w:firstLineChars="200"/>
        <w:rPr>
          <w:rFonts w:cs="宋体" w:asciiTheme="minorEastAsia" w:hAnsiTheme="minorEastAsia" w:eastAsiaTheme="minorEastAsia"/>
          <w:color w:val="000000" w:themeColor="text1"/>
          <w:kern w:val="0"/>
          <w:szCs w:val="21"/>
        </w:rPr>
      </w:pPr>
      <w:r>
        <w:rPr>
          <w:rFonts w:hint="eastAsia" w:cs="仿宋_GB2312" w:asciiTheme="minorEastAsia" w:hAnsiTheme="minorEastAsia" w:eastAsiaTheme="minorEastAsia"/>
          <w:color w:val="000000" w:themeColor="text1"/>
          <w:szCs w:val="21"/>
        </w:rPr>
        <w:t>公司通过收集法律法规及其它标准、要求，制定内部相关标准，使产品达到国家法律法规和国家、行业标准的要求（部分产品指标高于行业标准要求），从产品技术上践行社会责任。同时，公司制定了</w:t>
      </w:r>
      <w:r>
        <w:rPr>
          <w:rFonts w:hint="eastAsia" w:cs="仿宋_GB2312" w:asciiTheme="minorEastAsia" w:hAnsiTheme="minorEastAsia" w:eastAsiaTheme="minorEastAsia"/>
          <w:color w:val="000000" w:themeColor="text1"/>
          <w:szCs w:val="21"/>
          <w:highlight w:val="none"/>
        </w:rPr>
        <w:t>《公司质量目标考核》</w:t>
      </w:r>
      <w:r>
        <w:rPr>
          <w:rFonts w:hint="eastAsia" w:cs="仿宋_GB2312" w:asciiTheme="minorEastAsia" w:hAnsiTheme="minorEastAsia" w:eastAsiaTheme="minorEastAsia"/>
          <w:color w:val="000000" w:themeColor="text1"/>
          <w:szCs w:val="21"/>
        </w:rPr>
        <w:t>等，对产品质量问题进行责罚，遵循对质量事故不放过原则</w:t>
      </w:r>
      <w:r>
        <w:rPr>
          <w:rFonts w:hint="eastAsia" w:cs="宋体" w:asciiTheme="minorEastAsia" w:hAnsiTheme="minorEastAsia" w:eastAsiaTheme="minorEastAsia"/>
          <w:color w:val="000000" w:themeColor="text1"/>
          <w:kern w:val="0"/>
          <w:szCs w:val="21"/>
        </w:rPr>
        <w:t>。</w:t>
      </w:r>
    </w:p>
    <w:p w14:paraId="5701B7C3">
      <w:pPr>
        <w:pStyle w:val="7"/>
        <w:spacing w:line="276" w:lineRule="auto"/>
        <w:jc w:val="center"/>
        <w:rPr>
          <w:rFonts w:cs="仿宋_GB2312" w:asciiTheme="minorEastAsia" w:hAnsiTheme="minorEastAsia" w:eastAsiaTheme="minorEastAsia"/>
          <w:b/>
          <w:bCs/>
          <w:color w:val="000000" w:themeColor="text1"/>
          <w:sz w:val="21"/>
          <w:szCs w:val="21"/>
        </w:rPr>
      </w:pPr>
      <w:r>
        <w:rPr>
          <w:rFonts w:hint="eastAsia" w:cs="仿宋_GB2312" w:asciiTheme="minorEastAsia" w:hAnsiTheme="minorEastAsia" w:eastAsiaTheme="minorEastAsia"/>
          <w:b/>
          <w:bCs/>
          <w:color w:val="000000" w:themeColor="text1"/>
          <w:sz w:val="21"/>
          <w:szCs w:val="21"/>
        </w:rPr>
        <w:t>图表</w:t>
      </w:r>
      <w:r>
        <w:rPr>
          <w:rFonts w:hint="eastAsia" w:cs="仿宋_GB2312" w:asciiTheme="minorEastAsia" w:hAnsiTheme="minorEastAsia" w:eastAsiaTheme="minorEastAsia"/>
          <w:b/>
          <w:bCs/>
          <w:color w:val="000000" w:themeColor="text1"/>
          <w:sz w:val="21"/>
          <w:szCs w:val="21"/>
          <w:lang w:val="en-US" w:eastAsia="zh-CN"/>
        </w:rPr>
        <w:t>2</w:t>
      </w:r>
      <w:r>
        <w:rPr>
          <w:rFonts w:hint="eastAsia" w:cs="仿宋_GB2312" w:asciiTheme="minorEastAsia" w:hAnsiTheme="minorEastAsia" w:eastAsiaTheme="minorEastAsia"/>
          <w:b/>
          <w:bCs/>
          <w:color w:val="000000" w:themeColor="text1"/>
          <w:sz w:val="21"/>
          <w:szCs w:val="21"/>
        </w:rPr>
        <w:t xml:space="preserve"> 公司所遵守的质量标准和其他相关法律</w:t>
      </w:r>
    </w:p>
    <w:tbl>
      <w:tblPr>
        <w:tblStyle w:val="23"/>
        <w:tblW w:w="8848"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731"/>
        <w:gridCol w:w="7117"/>
      </w:tblGrid>
      <w:tr w14:paraId="252B96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73" w:hRule="atLeast"/>
          <w:tblHeader/>
          <w:jc w:val="center"/>
        </w:trPr>
        <w:tc>
          <w:tcPr>
            <w:tcW w:w="1731" w:type="dxa"/>
            <w:tcBorders>
              <w:top w:val="single" w:color="auto" w:sz="4" w:space="0"/>
              <w:left w:val="single" w:color="auto" w:sz="4" w:space="0"/>
            </w:tcBorders>
            <w:shd w:val="clear" w:color="auto" w:fill="DBE5F1" w:themeFill="accent1" w:themeFillTint="33"/>
            <w:vAlign w:val="center"/>
          </w:tcPr>
          <w:p w14:paraId="5BF099A5">
            <w:pPr>
              <w:spacing w:line="276" w:lineRule="auto"/>
              <w:jc w:val="center"/>
              <w:rPr>
                <w:rFonts w:asciiTheme="minorEastAsia" w:hAnsiTheme="minorEastAsia" w:eastAsiaTheme="minorEastAsia"/>
                <w:b/>
                <w:bCs/>
                <w:color w:val="000000" w:themeColor="text1"/>
                <w:szCs w:val="21"/>
              </w:rPr>
            </w:pPr>
            <w:r>
              <w:rPr>
                <w:rFonts w:asciiTheme="minorEastAsia" w:hAnsiTheme="minorEastAsia" w:eastAsiaTheme="minorEastAsia"/>
                <w:b/>
                <w:bCs/>
                <w:color w:val="000000" w:themeColor="text1"/>
                <w:szCs w:val="21"/>
              </w:rPr>
              <w:t>类 别</w:t>
            </w:r>
          </w:p>
        </w:tc>
        <w:tc>
          <w:tcPr>
            <w:tcW w:w="7117" w:type="dxa"/>
            <w:tcBorders>
              <w:top w:val="single" w:color="auto" w:sz="4" w:space="0"/>
              <w:right w:val="single" w:color="auto" w:sz="4" w:space="0"/>
            </w:tcBorders>
            <w:shd w:val="clear" w:color="auto" w:fill="DBE5F1" w:themeFill="accent1" w:themeFillTint="33"/>
            <w:vAlign w:val="center"/>
          </w:tcPr>
          <w:p w14:paraId="0AF7E9C0">
            <w:pPr>
              <w:spacing w:line="276" w:lineRule="auto"/>
              <w:jc w:val="center"/>
              <w:rPr>
                <w:rFonts w:asciiTheme="minorEastAsia" w:hAnsiTheme="minorEastAsia" w:eastAsiaTheme="minorEastAsia"/>
                <w:b/>
                <w:bCs/>
                <w:color w:val="000000" w:themeColor="text1"/>
                <w:szCs w:val="21"/>
              </w:rPr>
            </w:pPr>
            <w:r>
              <w:rPr>
                <w:rFonts w:asciiTheme="minorEastAsia" w:hAnsiTheme="minorEastAsia" w:eastAsiaTheme="minorEastAsia"/>
                <w:b/>
                <w:bCs/>
                <w:color w:val="000000" w:themeColor="text1"/>
                <w:szCs w:val="21"/>
              </w:rPr>
              <w:t>内  容</w:t>
            </w:r>
          </w:p>
        </w:tc>
      </w:tr>
      <w:tr w14:paraId="3F20E0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731" w:type="dxa"/>
            <w:tcBorders>
              <w:left w:val="single" w:color="auto" w:sz="4" w:space="0"/>
            </w:tcBorders>
            <w:shd w:val="clear" w:color="auto" w:fill="auto"/>
            <w:vAlign w:val="center"/>
          </w:tcPr>
          <w:p w14:paraId="2A604587">
            <w:pPr>
              <w:spacing w:line="360" w:lineRule="auto"/>
              <w:ind w:firstLine="210" w:firstLineChars="1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员工权益</w:t>
            </w:r>
          </w:p>
          <w:p w14:paraId="4347F462">
            <w:pPr>
              <w:spacing w:line="360" w:lineRule="auto"/>
              <w:ind w:firstLine="210" w:firstLineChars="1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社会责任</w:t>
            </w:r>
          </w:p>
        </w:tc>
        <w:tc>
          <w:tcPr>
            <w:tcW w:w="7117" w:type="dxa"/>
            <w:tcBorders>
              <w:right w:val="single" w:color="auto" w:sz="4" w:space="0"/>
            </w:tcBorders>
            <w:shd w:val="clear" w:color="auto" w:fill="auto"/>
          </w:tcPr>
          <w:p w14:paraId="29E1A015">
            <w:pPr>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《劳动法》、《工会法》、《消费者权益保护法》、《环境保护法》、《安全生产法》、《职业病防治法》、质量管理体系、环境管理体系、职业健康安全管理体系等。</w:t>
            </w:r>
          </w:p>
        </w:tc>
      </w:tr>
      <w:tr w14:paraId="1A7138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1731" w:type="dxa"/>
            <w:tcBorders>
              <w:left w:val="single" w:color="auto" w:sz="4" w:space="0"/>
              <w:bottom w:val="single" w:color="auto" w:sz="4" w:space="0"/>
            </w:tcBorders>
            <w:shd w:val="clear" w:color="auto" w:fill="auto"/>
            <w:vAlign w:val="center"/>
          </w:tcPr>
          <w:p w14:paraId="02FC1F98">
            <w:pPr>
              <w:spacing w:line="360" w:lineRule="auto"/>
              <w:jc w:val="center"/>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highlight w:val="none"/>
              </w:rPr>
              <w:t>产品标准执行</w:t>
            </w:r>
          </w:p>
        </w:tc>
        <w:tc>
          <w:tcPr>
            <w:tcW w:w="7117" w:type="dxa"/>
            <w:tcBorders>
              <w:bottom w:val="single" w:color="auto" w:sz="4" w:space="0"/>
              <w:right w:val="single" w:color="auto" w:sz="4" w:space="0"/>
            </w:tcBorders>
            <w:shd w:val="clear" w:color="auto" w:fill="auto"/>
          </w:tcPr>
          <w:p w14:paraId="1B33F066">
            <w:pPr>
              <w:pStyle w:val="4"/>
              <w:keepNext w:val="0"/>
              <w:keepLines w:val="0"/>
              <w:shd w:val="clear" w:color="auto" w:fill="FFFFFF"/>
              <w:spacing w:before="0" w:after="0" w:line="240" w:lineRule="auto"/>
              <w:ind w:firstLine="0"/>
              <w:rPr>
                <w:rFonts w:cs="仿宋_GB2312" w:asciiTheme="minorEastAsia" w:hAnsiTheme="minorEastAsia" w:eastAsiaTheme="minorEastAsia"/>
                <w:b w:val="0"/>
                <w:bCs w:val="0"/>
                <w:color w:val="000000" w:themeColor="text1"/>
                <w:kern w:val="2"/>
                <w:sz w:val="21"/>
                <w:szCs w:val="21"/>
              </w:rPr>
            </w:pPr>
            <w:r>
              <w:rPr>
                <w:rFonts w:hint="eastAsia" w:cs="仿宋_GB2312" w:asciiTheme="minorEastAsia" w:hAnsiTheme="minorEastAsia" w:eastAsiaTheme="minorEastAsia"/>
                <w:b w:val="0"/>
                <w:bCs w:val="0"/>
                <w:color w:val="000000" w:themeColor="text1"/>
                <w:kern w:val="2"/>
                <w:sz w:val="21"/>
                <w:szCs w:val="21"/>
              </w:rPr>
              <w:t>执行GBT 12706.1-2020 额定电压1 kV(Um=1.2 kV)到35 kV(Um=40.5 kV)挤包绝缘电力电缆及附件　第1部分：额定电压1 kV(Um=1.2 kV)和3 kV(Um=3.6kV)电缆</w:t>
            </w:r>
          </w:p>
          <w:p w14:paraId="3A55F7E3">
            <w:pPr>
              <w:spacing w:line="240" w:lineRule="auto"/>
              <w:rPr>
                <w:rFonts w:hint="eastAsia" w:cs="仿宋_GB2312" w:asciiTheme="minorEastAsia" w:hAnsiTheme="minorEastAsia" w:eastAsiaTheme="minorEastAsia"/>
                <w:b w:val="0"/>
                <w:bCs w:val="0"/>
                <w:color w:val="000000" w:themeColor="text1"/>
                <w:kern w:val="2"/>
                <w:sz w:val="21"/>
                <w:szCs w:val="21"/>
                <w:lang w:val="en-US" w:eastAsia="zh-CN" w:bidi="ar-SA"/>
              </w:rPr>
            </w:pPr>
            <w:r>
              <w:rPr>
                <w:rFonts w:hint="eastAsia" w:cs="仿宋_GB2312" w:asciiTheme="minorEastAsia" w:hAnsiTheme="minorEastAsia" w:eastAsiaTheme="minorEastAsia"/>
                <w:b w:val="0"/>
                <w:bCs w:val="0"/>
                <w:color w:val="000000" w:themeColor="text1"/>
                <w:kern w:val="2"/>
                <w:sz w:val="21"/>
                <w:szCs w:val="21"/>
              </w:rPr>
              <w:t>G</w:t>
            </w:r>
            <w:r>
              <w:rPr>
                <w:rFonts w:hint="eastAsia" w:cs="仿宋_GB2312" w:asciiTheme="minorEastAsia" w:hAnsiTheme="minorEastAsia" w:eastAsiaTheme="minorEastAsia"/>
                <w:b w:val="0"/>
                <w:bCs w:val="0"/>
                <w:color w:val="000000" w:themeColor="text1"/>
                <w:kern w:val="2"/>
                <w:sz w:val="21"/>
                <w:szCs w:val="21"/>
                <w:lang w:val="en-US" w:eastAsia="zh-CN" w:bidi="ar-SA"/>
              </w:rPr>
              <w:t>B／T 12706.2-2020 额定电压1kV(Um1.2kV)到35kV(Um40.5kV)挤包绝缘电力电缆及附件第2部分：额定电压6kV(Um=7.2 kV)和30 kV(Um=36kV)电缆</w:t>
            </w:r>
          </w:p>
          <w:p w14:paraId="54CA8F02">
            <w:pPr>
              <w:spacing w:line="240" w:lineRule="auto"/>
              <w:rPr>
                <w:rFonts w:hint="eastAsia" w:cs="仿宋_GB2312" w:asciiTheme="minorEastAsia" w:hAnsiTheme="minorEastAsia" w:eastAsiaTheme="minorEastAsia"/>
                <w:b w:val="0"/>
                <w:bCs w:val="0"/>
                <w:color w:val="000000" w:themeColor="text1"/>
                <w:kern w:val="2"/>
                <w:sz w:val="21"/>
                <w:szCs w:val="21"/>
                <w:lang w:val="en-US" w:eastAsia="zh-CN" w:bidi="ar-SA"/>
              </w:rPr>
            </w:pPr>
            <w:r>
              <w:rPr>
                <w:rFonts w:hint="eastAsia" w:cs="仿宋_GB2312" w:asciiTheme="minorEastAsia" w:hAnsiTheme="minorEastAsia" w:eastAsiaTheme="minorEastAsia"/>
                <w:b w:val="0"/>
                <w:bCs w:val="0"/>
                <w:color w:val="000000" w:themeColor="text1"/>
                <w:kern w:val="2"/>
                <w:sz w:val="21"/>
                <w:szCs w:val="21"/>
                <w:lang w:val="en-US" w:eastAsia="zh-CN" w:bidi="ar-SA"/>
              </w:rPr>
              <w:t>GB∕T 9330-2020 塑料绝缘控制电缆</w:t>
            </w:r>
          </w:p>
          <w:p w14:paraId="6DA603FA">
            <w:pPr>
              <w:spacing w:line="240" w:lineRule="auto"/>
              <w:rPr>
                <w:rFonts w:hint="eastAsia" w:cs="仿宋_GB2312" w:asciiTheme="minorEastAsia" w:hAnsiTheme="minorEastAsia" w:eastAsiaTheme="minorEastAsia"/>
                <w:b w:val="0"/>
                <w:bCs w:val="0"/>
                <w:color w:val="000000" w:themeColor="text1"/>
                <w:kern w:val="2"/>
                <w:sz w:val="21"/>
                <w:szCs w:val="21"/>
                <w:lang w:val="en-US" w:eastAsia="zh-CN" w:bidi="ar-SA"/>
              </w:rPr>
            </w:pPr>
            <w:r>
              <w:rPr>
                <w:rFonts w:hint="eastAsia" w:cs="仿宋_GB2312" w:asciiTheme="minorEastAsia" w:hAnsiTheme="minorEastAsia" w:eastAsiaTheme="minorEastAsia"/>
                <w:b w:val="0"/>
                <w:bCs w:val="0"/>
                <w:color w:val="000000" w:themeColor="text1"/>
                <w:kern w:val="2"/>
                <w:sz w:val="21"/>
                <w:szCs w:val="21"/>
                <w:lang w:val="en-US" w:eastAsia="zh-CN" w:bidi="ar-SA"/>
              </w:rPr>
              <w:t>GB/T5023.3-2008 额定电压450750V及以下聚氯乙烯绝缘电缆 第3部分：固定布线用无护套电缆</w:t>
            </w:r>
          </w:p>
          <w:p w14:paraId="532BEAC4">
            <w:pPr>
              <w:spacing w:line="240" w:lineRule="auto"/>
              <w:rPr>
                <w:rFonts w:hint="eastAsia" w:cs="仿宋_GB2312" w:asciiTheme="minorEastAsia" w:hAnsiTheme="minorEastAsia" w:eastAsiaTheme="minorEastAsia"/>
                <w:b w:val="0"/>
                <w:bCs w:val="0"/>
                <w:color w:val="000000" w:themeColor="text1"/>
                <w:kern w:val="2"/>
                <w:sz w:val="21"/>
                <w:szCs w:val="21"/>
                <w:lang w:val="en-US" w:eastAsia="zh-CN" w:bidi="ar-SA"/>
              </w:rPr>
            </w:pPr>
            <w:r>
              <w:rPr>
                <w:rFonts w:hint="eastAsia" w:cs="仿宋_GB2312" w:asciiTheme="minorEastAsia" w:hAnsiTheme="minorEastAsia" w:eastAsiaTheme="minorEastAsia"/>
                <w:b w:val="0"/>
                <w:bCs w:val="0"/>
                <w:color w:val="000000" w:themeColor="text1"/>
                <w:kern w:val="2"/>
                <w:sz w:val="21"/>
                <w:szCs w:val="21"/>
                <w:lang w:val="en-US" w:eastAsia="zh-CN" w:bidi="ar-SA"/>
              </w:rPr>
              <w:t>JB∕T 8734.2-2016 额定电压450∕750V及以下聚氯乙烯绝缘电缆电线和软线 第2部:固定布线用电缆电线</w:t>
            </w:r>
          </w:p>
          <w:p w14:paraId="58CD2A2B">
            <w:pPr>
              <w:pStyle w:val="22"/>
              <w:spacing w:line="240" w:lineRule="auto"/>
              <w:ind w:left="0" w:leftChars="0" w:firstLine="0" w:firstLineChars="0"/>
              <w:rPr>
                <w:rFonts w:hint="eastAsia" w:cs="仿宋_GB2312" w:asciiTheme="minorEastAsia" w:hAnsiTheme="minorEastAsia" w:eastAsiaTheme="minorEastAsia"/>
                <w:b w:val="0"/>
                <w:bCs w:val="0"/>
                <w:color w:val="000000" w:themeColor="text1"/>
                <w:kern w:val="2"/>
                <w:sz w:val="21"/>
                <w:szCs w:val="21"/>
                <w:lang w:val="en-US" w:eastAsia="zh-CN" w:bidi="ar-SA"/>
              </w:rPr>
            </w:pPr>
            <w:r>
              <w:rPr>
                <w:rFonts w:hint="eastAsia" w:cs="仿宋_GB2312" w:asciiTheme="minorEastAsia" w:hAnsiTheme="minorEastAsia" w:eastAsiaTheme="minorEastAsia"/>
                <w:b w:val="0"/>
                <w:bCs w:val="0"/>
                <w:color w:val="000000" w:themeColor="text1"/>
                <w:kern w:val="2"/>
                <w:sz w:val="21"/>
                <w:szCs w:val="21"/>
                <w:lang w:val="en-US" w:eastAsia="zh-CN" w:bidi="ar-SA"/>
              </w:rPr>
              <w:t>GB∕T 1179-2017 圆线同心绞架空导线</w:t>
            </w:r>
          </w:p>
          <w:p w14:paraId="57911759">
            <w:pPr>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 xml:space="preserve">T/ZZB </w:t>
            </w:r>
            <w:r>
              <w:rPr>
                <w:rFonts w:hint="eastAsia" w:cs="仿宋_GB2312" w:asciiTheme="minorEastAsia" w:hAnsiTheme="minorEastAsia" w:eastAsiaTheme="minorEastAsia"/>
                <w:color w:val="000000" w:themeColor="text1"/>
                <w:szCs w:val="21"/>
                <w:lang w:val="en-US" w:eastAsia="zh-CN"/>
              </w:rPr>
              <w:t>2343</w:t>
            </w:r>
            <w:r>
              <w:rPr>
                <w:rFonts w:hint="eastAsia" w:cs="仿宋_GB2312" w:asciiTheme="minorEastAsia" w:hAnsiTheme="minorEastAsia" w:eastAsiaTheme="minorEastAsia"/>
                <w:color w:val="000000" w:themeColor="text1"/>
                <w:szCs w:val="21"/>
              </w:rPr>
              <w:t>-20</w:t>
            </w:r>
            <w:r>
              <w:rPr>
                <w:rFonts w:hint="eastAsia" w:cs="仿宋_GB2312" w:asciiTheme="minorEastAsia" w:hAnsiTheme="minorEastAsia" w:eastAsiaTheme="minorEastAsia"/>
                <w:color w:val="000000" w:themeColor="text1"/>
                <w:szCs w:val="21"/>
                <w:lang w:val="en-US" w:eastAsia="zh-CN"/>
              </w:rPr>
              <w:t>21</w:t>
            </w:r>
            <w:r>
              <w:rPr>
                <w:rFonts w:hint="eastAsia" w:cs="仿宋_GB2312" w:asciiTheme="minorEastAsia" w:hAnsiTheme="minorEastAsia" w:eastAsiaTheme="minorEastAsia"/>
                <w:color w:val="000000" w:themeColor="text1"/>
                <w:szCs w:val="21"/>
              </w:rPr>
              <w:t>浙江制造团体标准《</w:t>
            </w:r>
            <w:r>
              <w:rPr>
                <w:rFonts w:hint="eastAsia" w:ascii="宋体" w:hAnsi="宋体" w:eastAsia="宋体" w:cs="宋体"/>
                <w:color w:val="000000"/>
                <w:kern w:val="0"/>
                <w:sz w:val="21"/>
                <w:szCs w:val="21"/>
                <w:lang w:val="en-US" w:eastAsia="zh-CN" w:bidi="ar"/>
              </w:rPr>
              <w:t xml:space="preserve">额定电压 </w:t>
            </w:r>
            <w:r>
              <w:rPr>
                <w:rFonts w:hint="default" w:ascii="Times New Roman" w:hAnsi="Times New Roman" w:eastAsia="宋体" w:cs="Times New Roman"/>
                <w:color w:val="000000"/>
                <w:kern w:val="0"/>
                <w:sz w:val="21"/>
                <w:szCs w:val="21"/>
                <w:lang w:val="en-US" w:eastAsia="zh-CN" w:bidi="ar"/>
              </w:rPr>
              <w:t>1 kV</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Um=1.2 kV</w:t>
            </w:r>
            <w:r>
              <w:rPr>
                <w:rFonts w:hint="eastAsia" w:ascii="宋体" w:hAnsi="宋体" w:eastAsia="宋体" w:cs="宋体"/>
                <w:color w:val="000000"/>
                <w:kern w:val="0"/>
                <w:sz w:val="21"/>
                <w:szCs w:val="21"/>
                <w:lang w:val="en-US" w:eastAsia="zh-CN" w:bidi="ar"/>
              </w:rPr>
              <w:t xml:space="preserve">）交联聚乙烯绝缘聚烯烃护套无卤低烟阻燃 </w:t>
            </w:r>
            <w:r>
              <w:rPr>
                <w:rFonts w:hint="default" w:ascii="Times New Roman" w:hAnsi="Times New Roman" w:eastAsia="宋体" w:cs="Times New Roman"/>
                <w:color w:val="000000"/>
                <w:kern w:val="0"/>
                <w:sz w:val="21"/>
                <w:szCs w:val="21"/>
                <w:lang w:val="en-US" w:eastAsia="zh-CN" w:bidi="ar"/>
              </w:rPr>
              <w:t>B</w:t>
            </w:r>
            <w:r>
              <w:rPr>
                <w:rFonts w:hint="default" w:ascii="Times New Roman" w:hAnsi="Times New Roman" w:eastAsia="宋体" w:cs="Times New Roman"/>
                <w:color w:val="000000"/>
                <w:kern w:val="0"/>
                <w:sz w:val="13"/>
                <w:szCs w:val="13"/>
                <w:lang w:val="en-US" w:eastAsia="zh-CN" w:bidi="ar"/>
              </w:rPr>
              <w:t>1</w:t>
            </w:r>
            <w:r>
              <w:rPr>
                <w:rFonts w:hint="eastAsia" w:ascii="宋体" w:hAnsi="宋体" w:eastAsia="宋体" w:cs="宋体"/>
                <w:color w:val="000000"/>
                <w:kern w:val="0"/>
                <w:sz w:val="21"/>
                <w:szCs w:val="21"/>
                <w:lang w:val="en-US" w:eastAsia="zh-CN" w:bidi="ar"/>
              </w:rPr>
              <w:t>级电力电缆</w:t>
            </w:r>
            <w:r>
              <w:rPr>
                <w:rFonts w:hint="eastAsia" w:cs="仿宋_GB2312" w:asciiTheme="minorEastAsia" w:hAnsiTheme="minorEastAsia" w:eastAsiaTheme="minorEastAsia"/>
                <w:color w:val="000000" w:themeColor="text1"/>
                <w:szCs w:val="21"/>
              </w:rPr>
              <w:t>》。</w:t>
            </w:r>
          </w:p>
        </w:tc>
      </w:tr>
    </w:tbl>
    <w:p w14:paraId="673077A3">
      <w:pPr>
        <w:keepNext w:val="0"/>
        <w:keepLines w:val="0"/>
        <w:pageBreakBefore w:val="0"/>
        <w:widowControl w:val="0"/>
        <w:kinsoku/>
        <w:wordWrap/>
        <w:overflowPunct/>
        <w:topLinePunct w:val="0"/>
        <w:autoSpaceDE/>
        <w:autoSpaceDN/>
        <w:bidi w:val="0"/>
        <w:adjustRightInd/>
        <w:snapToGrid/>
        <w:spacing w:before="157" w:beforeLines="50" w:line="312" w:lineRule="auto"/>
        <w:ind w:firstLine="420" w:firstLineChars="200"/>
        <w:textAlignment w:val="auto"/>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公司制定了</w:t>
      </w:r>
      <w:r>
        <w:rPr>
          <w:rFonts w:hint="eastAsia" w:cs="仿宋_GB2312" w:asciiTheme="minorEastAsia" w:hAnsiTheme="minorEastAsia" w:eastAsiaTheme="minorEastAsia"/>
          <w:color w:val="000000" w:themeColor="text1"/>
          <w:szCs w:val="21"/>
          <w:highlight w:val="none"/>
        </w:rPr>
        <w:t>《内部审核控制程序》《管理评审</w:t>
      </w:r>
      <w:r>
        <w:rPr>
          <w:rFonts w:hint="eastAsia" w:cs="仿宋_GB2312" w:asciiTheme="minorEastAsia" w:hAnsiTheme="minorEastAsia" w:eastAsiaTheme="minorEastAsia"/>
          <w:color w:val="000000" w:themeColor="text1"/>
          <w:szCs w:val="21"/>
          <w:highlight w:val="none"/>
          <w:lang w:val="en-US" w:eastAsia="zh-CN"/>
        </w:rPr>
        <w:t>控制</w:t>
      </w:r>
      <w:r>
        <w:rPr>
          <w:rFonts w:hint="eastAsia" w:cs="仿宋_GB2312" w:asciiTheme="minorEastAsia" w:hAnsiTheme="minorEastAsia" w:eastAsiaTheme="minorEastAsia"/>
          <w:color w:val="000000" w:themeColor="text1"/>
          <w:szCs w:val="21"/>
          <w:highlight w:val="none"/>
        </w:rPr>
        <w:t>程序》</w:t>
      </w:r>
      <w:r>
        <w:rPr>
          <w:rFonts w:hint="eastAsia" w:cs="仿宋_GB2312" w:asciiTheme="minorEastAsia" w:hAnsiTheme="minorEastAsia" w:eastAsiaTheme="minorEastAsia"/>
          <w:color w:val="000000" w:themeColor="text1"/>
          <w:szCs w:val="21"/>
        </w:rPr>
        <w:t>，为确保体系运行的有效性和持续改进，安排内审、过程审核和产品审核，对于审核中发现的不符合项，由责任部门分析原因，制定纠正或预防措施，落实整改，并验证整改效果，最终形成内部审核报告，对体系的整改及不符合项的预防提出建议，并作为管理评审的一个重要输入，报告最高管理者。</w:t>
      </w:r>
    </w:p>
    <w:p w14:paraId="75191B8B">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公司制定了</w:t>
      </w:r>
      <w:r>
        <w:rPr>
          <w:rFonts w:hint="eastAsia" w:cs="仿宋_GB2312" w:asciiTheme="minorEastAsia" w:hAnsiTheme="minorEastAsia" w:eastAsiaTheme="minorEastAsia"/>
          <w:color w:val="000000" w:themeColor="text1"/>
          <w:szCs w:val="21"/>
          <w:highlight w:val="none"/>
        </w:rPr>
        <w:t>《</w:t>
      </w:r>
      <w:r>
        <w:rPr>
          <w:rFonts w:hint="eastAsia" w:cs="仿宋_GB2312" w:asciiTheme="minorEastAsia" w:hAnsiTheme="minorEastAsia" w:eastAsiaTheme="minorEastAsia"/>
          <w:color w:val="000000" w:themeColor="text1"/>
          <w:szCs w:val="21"/>
          <w:highlight w:val="none"/>
          <w:lang w:eastAsia="zh-CN"/>
        </w:rPr>
        <w:t>不合格品控制程序</w:t>
      </w:r>
      <w:r>
        <w:rPr>
          <w:rFonts w:hint="eastAsia" w:cs="仿宋_GB2312" w:asciiTheme="minorEastAsia" w:hAnsiTheme="minorEastAsia" w:eastAsiaTheme="minorEastAsia"/>
          <w:color w:val="000000" w:themeColor="text1"/>
          <w:szCs w:val="21"/>
          <w:highlight w:val="none"/>
        </w:rPr>
        <w:t>》《</w:t>
      </w:r>
      <w:r>
        <w:rPr>
          <w:rFonts w:hint="eastAsia" w:ascii="宋体" w:hAnsi="宋体" w:cs="宋体"/>
          <w:color w:val="000000" w:themeColor="text1"/>
          <w:szCs w:val="21"/>
          <w:highlight w:val="none"/>
        </w:rPr>
        <w:t>改进</w:t>
      </w:r>
      <w:r>
        <w:rPr>
          <w:rFonts w:hint="eastAsia" w:ascii="宋体" w:hAnsi="宋体" w:cs="宋体"/>
          <w:color w:val="000000" w:themeColor="text1"/>
          <w:szCs w:val="21"/>
          <w:highlight w:val="none"/>
          <w:lang w:val="en-US" w:eastAsia="zh-CN"/>
        </w:rPr>
        <w:t>控制</w:t>
      </w:r>
      <w:r>
        <w:rPr>
          <w:rFonts w:hint="eastAsia" w:ascii="宋体" w:hAnsi="宋体" w:cs="宋体"/>
          <w:color w:val="000000" w:themeColor="text1"/>
          <w:szCs w:val="21"/>
          <w:highlight w:val="none"/>
        </w:rPr>
        <w:t>程序</w:t>
      </w:r>
      <w:r>
        <w:rPr>
          <w:rFonts w:hint="eastAsia" w:cs="仿宋_GB2312" w:asciiTheme="minorEastAsia" w:hAnsiTheme="minorEastAsia" w:eastAsiaTheme="minorEastAsia"/>
          <w:color w:val="000000" w:themeColor="text1"/>
          <w:szCs w:val="21"/>
          <w:highlight w:val="none"/>
        </w:rPr>
        <w:t>》</w:t>
      </w:r>
      <w:r>
        <w:rPr>
          <w:rFonts w:hint="eastAsia" w:cs="仿宋_GB2312" w:asciiTheme="minorEastAsia" w:hAnsiTheme="minorEastAsia" w:eastAsiaTheme="minorEastAsia"/>
          <w:color w:val="000000" w:themeColor="text1"/>
          <w:szCs w:val="21"/>
        </w:rPr>
        <w:t>对不合格品进行了严格管控。公司制定了产品检验标准，产品都经过自检、互检、在线检查、专检，合格后方可流入下道工序或出厂。任何不合格产品均有明确的标识、记录、隔离和处理等要求，各种不合格产品返工、返修后必须经过重新检验合格后才能进入下道工序。</w:t>
      </w:r>
    </w:p>
    <w:p w14:paraId="1E5AD428">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同时，对于所有出现的不合格，均有详细记录，并由专人进行统计分析后，由责任单位依据</w:t>
      </w:r>
      <w:r>
        <w:rPr>
          <w:rFonts w:hint="eastAsia" w:cs="仿宋_GB2312" w:asciiTheme="minorEastAsia" w:hAnsiTheme="minorEastAsia" w:eastAsiaTheme="minorEastAsia"/>
          <w:color w:val="000000" w:themeColor="text1"/>
          <w:szCs w:val="21"/>
          <w:highlight w:val="none"/>
        </w:rPr>
        <w:t>《</w:t>
      </w:r>
      <w:r>
        <w:rPr>
          <w:rFonts w:hint="eastAsia" w:ascii="宋体" w:hAnsi="宋体" w:cs="宋体"/>
          <w:color w:val="000000" w:themeColor="text1"/>
          <w:szCs w:val="21"/>
          <w:highlight w:val="none"/>
        </w:rPr>
        <w:t>改进</w:t>
      </w:r>
      <w:r>
        <w:rPr>
          <w:rFonts w:hint="eastAsia" w:ascii="宋体" w:hAnsi="宋体" w:cs="宋体"/>
          <w:color w:val="000000" w:themeColor="text1"/>
          <w:szCs w:val="21"/>
          <w:highlight w:val="none"/>
          <w:lang w:val="en-US" w:eastAsia="zh-CN"/>
        </w:rPr>
        <w:t>控制</w:t>
      </w:r>
      <w:r>
        <w:rPr>
          <w:rFonts w:hint="eastAsia" w:ascii="宋体" w:hAnsi="宋体" w:cs="宋体"/>
          <w:color w:val="000000" w:themeColor="text1"/>
          <w:szCs w:val="21"/>
          <w:highlight w:val="none"/>
        </w:rPr>
        <w:t>程序</w:t>
      </w:r>
      <w:r>
        <w:rPr>
          <w:rFonts w:hint="eastAsia" w:cs="仿宋_GB2312" w:asciiTheme="minorEastAsia" w:hAnsiTheme="minorEastAsia" w:eastAsiaTheme="minorEastAsia"/>
          <w:color w:val="000000" w:themeColor="text1"/>
          <w:szCs w:val="21"/>
          <w:highlight w:val="none"/>
        </w:rPr>
        <w:t>》</w:t>
      </w:r>
      <w:r>
        <w:rPr>
          <w:rFonts w:hint="eastAsia" w:cs="仿宋_GB2312" w:asciiTheme="minorEastAsia" w:hAnsiTheme="minorEastAsia" w:eastAsiaTheme="minorEastAsia"/>
          <w:color w:val="000000" w:themeColor="text1"/>
          <w:szCs w:val="21"/>
        </w:rPr>
        <w:t>制定纠正措施并进行整改，评估纠正措施有效之后方能关闭问题项。</w:t>
      </w:r>
    </w:p>
    <w:p w14:paraId="2E324B1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此外，公司对出现的质量问题进行问责和教育，并在日常开发、生产作业中，强调标准化，通过持续改善等活动及质量功能展开，充分应用PDCA循环，持续改善，追求卓越。</w:t>
      </w:r>
    </w:p>
    <w:p w14:paraId="7C318513">
      <w:pPr>
        <w:pStyle w:val="20"/>
        <w:spacing w:before="0" w:beforeAutospacing="0" w:after="0" w:afterAutospacing="0" w:line="312" w:lineRule="auto"/>
        <w:ind w:firstLine="422" w:firstLineChars="200"/>
        <w:rPr>
          <w:b/>
          <w:sz w:val="21"/>
          <w:szCs w:val="21"/>
        </w:rPr>
      </w:pPr>
      <w:r>
        <w:rPr>
          <w:rFonts w:hint="eastAsia" w:cs="仿宋_GB2312" w:asciiTheme="minorEastAsia" w:hAnsiTheme="minorEastAsia" w:eastAsiaTheme="minorEastAsia"/>
          <w:b/>
          <w:bCs/>
          <w:color w:val="000000" w:themeColor="text1"/>
          <w:sz w:val="21"/>
          <w:szCs w:val="21"/>
        </w:rPr>
        <w:t>4、</w:t>
      </w:r>
      <w:r>
        <w:rPr>
          <w:rFonts w:hint="eastAsia"/>
          <w:b/>
          <w:sz w:val="21"/>
          <w:szCs w:val="21"/>
        </w:rPr>
        <w:t>质量责任赔偿</w:t>
      </w:r>
    </w:p>
    <w:p w14:paraId="7BDF4181">
      <w:pPr>
        <w:pStyle w:val="20"/>
        <w:spacing w:before="0" w:beforeAutospacing="0" w:after="0" w:afterAutospacing="0" w:line="312" w:lineRule="auto"/>
        <w:ind w:firstLine="420" w:firstLineChars="200"/>
        <w:rPr>
          <w:sz w:val="21"/>
          <w:szCs w:val="21"/>
        </w:rPr>
      </w:pPr>
      <w:r>
        <w:rPr>
          <w:rFonts w:hint="eastAsia"/>
          <w:sz w:val="21"/>
          <w:szCs w:val="21"/>
        </w:rPr>
        <w:t>公司内部，为进一步控制原料质量，加强中间控制，提高产品一次合格率，促进生产操作人员的工作积极性，通过全面质量管理提高产品质量，降低生产成本，根据公司整体要求，遵照公司产品质量及整体效益与员工利益挂钩的原则，制定了</w:t>
      </w:r>
      <w:r>
        <w:rPr>
          <w:rFonts w:hint="eastAsia"/>
          <w:sz w:val="21"/>
          <w:szCs w:val="21"/>
          <w:lang w:eastAsia="zh-CN"/>
        </w:rPr>
        <w:t>《</w:t>
      </w:r>
      <w:r>
        <w:rPr>
          <w:rFonts w:hint="eastAsia"/>
          <w:sz w:val="21"/>
          <w:szCs w:val="21"/>
          <w:highlight w:val="none"/>
        </w:rPr>
        <w:t>公司质量目标考核</w:t>
      </w:r>
      <w:r>
        <w:rPr>
          <w:rFonts w:hint="eastAsia"/>
          <w:sz w:val="21"/>
          <w:szCs w:val="21"/>
          <w:lang w:eastAsia="zh-CN"/>
        </w:rPr>
        <w:t>》</w:t>
      </w:r>
      <w:r>
        <w:rPr>
          <w:rFonts w:hint="eastAsia"/>
          <w:sz w:val="21"/>
          <w:szCs w:val="21"/>
        </w:rPr>
        <w:t>。为规避质量事故的发生，建立问题追溯机制，梳理产生的原因并采取措施，以提高产品质量，提高效益。同时，为保证顾客</w:t>
      </w:r>
      <w:r>
        <w:rPr>
          <w:sz w:val="21"/>
          <w:szCs w:val="21"/>
        </w:rPr>
        <w:t>的合法权益</w:t>
      </w:r>
      <w:r>
        <w:rPr>
          <w:rFonts w:hint="eastAsia"/>
          <w:sz w:val="21"/>
          <w:szCs w:val="21"/>
        </w:rPr>
        <w:t>，公司始终为客户提供有质量保证的合格产品，并对因产品质量问题导致客户产生损失的情况予以严格处理。</w:t>
      </w:r>
    </w:p>
    <w:p w14:paraId="0C95FA06">
      <w:pPr>
        <w:pStyle w:val="20"/>
        <w:spacing w:before="0" w:beforeAutospacing="0" w:after="0" w:afterAutospacing="0" w:line="360" w:lineRule="auto"/>
        <w:jc w:val="center"/>
        <w:rPr>
          <w:rFonts w:hint="eastAsia" w:cs="仿宋_GB2312" w:asciiTheme="minorEastAsia" w:hAnsiTheme="minorEastAsia" w:eastAsiaTheme="minorEastAsia"/>
          <w:color w:val="000000" w:themeColor="text1"/>
          <w:lang w:eastAsia="zh-CN"/>
        </w:rPr>
      </w:pPr>
    </w:p>
    <w:p w14:paraId="114FBB1E">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0" w:name="_Toc1998"/>
      <w:r>
        <w:rPr>
          <w:rFonts w:hint="eastAsia" w:cs="仿宋_GB2312" w:asciiTheme="minorEastAsia" w:hAnsiTheme="minorEastAsia" w:eastAsiaTheme="minorEastAsia"/>
          <w:b/>
          <w:bCs/>
          <w:color w:val="000000" w:themeColor="text1"/>
          <w:sz w:val="24"/>
        </w:rPr>
        <w:t>（三）质量安全风险管理</w:t>
      </w:r>
      <w:bookmarkEnd w:id="20"/>
    </w:p>
    <w:p w14:paraId="4B31EBC4">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所有产品和过程，均按项目管理方式或流程实施设计和开发，对产品特性和过程特性实施潜在失效模式及后果分析，对风险顺序数高的环节，采取必要的措施，降低风险。编制质量控制计划、作业指导书等文件，对每项产品要求和过程环节进行风险分析。做到每一个环节严格控制，严格把关，确保每个零件的生产都符合相关要求，确保最终产品质量的合格。</w:t>
      </w:r>
    </w:p>
    <w:p w14:paraId="7E696FE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工序，实施三检制，即自检、互检、专检，对产品质量进行严格把控。在整个流程中，如进货检验、过程检验、最终检验，进行层层把关。并根据需要，开展质量管理体系审核、过程审核、产品审核等工作。对特殊工序实施控制。</w:t>
      </w:r>
    </w:p>
    <w:p w14:paraId="2A677415">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公司在质量管理和控制上，建立了评审放行制度，防范质量安全风险。公司制定了质量安全应急预案，成立了以总经理为组长，</w:t>
      </w:r>
      <w:r>
        <w:rPr>
          <w:rFonts w:hint="eastAsia" w:cs="仿宋_GB2312" w:asciiTheme="minorEastAsia" w:hAnsiTheme="minorEastAsia" w:eastAsiaTheme="minorEastAsia"/>
          <w:color w:val="000000" w:themeColor="text1"/>
          <w:szCs w:val="21"/>
          <w:lang w:eastAsia="zh-CN"/>
        </w:rPr>
        <w:t>技质部</w:t>
      </w:r>
      <w:r>
        <w:rPr>
          <w:rFonts w:hint="eastAsia" w:cs="仿宋_GB2312" w:asciiTheme="minorEastAsia" w:hAnsiTheme="minorEastAsia" w:eastAsiaTheme="minorEastAsia"/>
          <w:color w:val="000000" w:themeColor="text1"/>
          <w:szCs w:val="21"/>
        </w:rPr>
        <w:t>主管、销售经理为副组长，采购部、技术部、财务部为组员的应急领导小组。并明确了应急领导小组及各相关部门职责。</w:t>
      </w:r>
    </w:p>
    <w:p w14:paraId="2D709B0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公司为快速反应，有效的降低风险，还建立了</w:t>
      </w:r>
      <w:r>
        <w:rPr>
          <w:rFonts w:hint="eastAsia" w:cs="仿宋_GB2312" w:asciiTheme="minorEastAsia" w:hAnsiTheme="minorEastAsia" w:eastAsiaTheme="minorEastAsia"/>
          <w:color w:val="000000" w:themeColor="text1"/>
          <w:szCs w:val="21"/>
          <w:highlight w:val="none"/>
        </w:rPr>
        <w:t>质量异常反馈处理流程</w:t>
      </w:r>
      <w:r>
        <w:rPr>
          <w:rFonts w:hint="eastAsia" w:cs="仿宋_GB2312" w:asciiTheme="minorEastAsia" w:hAnsiTheme="minorEastAsia" w:eastAsiaTheme="minorEastAsia"/>
          <w:color w:val="000000" w:themeColor="text1"/>
          <w:szCs w:val="21"/>
        </w:rPr>
        <w:t>，防范和降低质量安全风险。</w:t>
      </w:r>
    </w:p>
    <w:p w14:paraId="2017C84B">
      <w:pPr>
        <w:spacing w:line="360" w:lineRule="auto"/>
        <w:jc w:val="center"/>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图表</w:t>
      </w:r>
      <w:r>
        <w:rPr>
          <w:rFonts w:hint="eastAsia" w:cs="仿宋_GB2312" w:asciiTheme="minorEastAsia" w:hAnsiTheme="minorEastAsia" w:eastAsiaTheme="minorEastAsia"/>
          <w:b/>
          <w:bCs/>
          <w:color w:val="000000" w:themeColor="text1"/>
          <w:szCs w:val="21"/>
          <w:lang w:val="en-US" w:eastAsia="zh-CN"/>
        </w:rPr>
        <w:t>4</w:t>
      </w:r>
      <w:r>
        <w:rPr>
          <w:rFonts w:hint="eastAsia" w:cs="仿宋_GB2312" w:asciiTheme="minorEastAsia" w:hAnsiTheme="minorEastAsia" w:eastAsiaTheme="minorEastAsia"/>
          <w:b/>
          <w:bCs/>
          <w:color w:val="000000" w:themeColor="text1"/>
          <w:szCs w:val="21"/>
        </w:rPr>
        <w:t xml:space="preserve"> 风险管理流程图</w:t>
      </w:r>
    </w:p>
    <w:p w14:paraId="5F21CBA2">
      <w:pPr>
        <w:widowControl/>
        <w:shd w:val="clear" w:color="auto" w:fill="FFFFFF"/>
        <w:spacing w:line="276" w:lineRule="auto"/>
        <w:jc w:val="center"/>
        <w:rPr>
          <w:rFonts w:cs="仿宋_GB2312" w:asciiTheme="minorEastAsia" w:hAnsiTheme="minorEastAsia" w:eastAsiaTheme="minorEastAsia"/>
          <w:color w:val="000000" w:themeColor="text1"/>
          <w:sz w:val="28"/>
          <w:szCs w:val="28"/>
        </w:rPr>
      </w:pPr>
      <w:r>
        <w:rPr>
          <w:rFonts w:cs="Arial" w:asciiTheme="minorEastAsia" w:hAnsiTheme="minorEastAsia" w:eastAsiaTheme="minorEastAsia"/>
          <w:color w:val="000000" w:themeColor="text1"/>
          <w:kern w:val="0"/>
          <w:sz w:val="18"/>
          <w:szCs w:val="18"/>
        </w:rPr>
        <w:drawing>
          <wp:inline distT="0" distB="0" distL="0" distR="0">
            <wp:extent cx="3514725" cy="3600450"/>
            <wp:effectExtent l="19050" t="0" r="9525" b="0"/>
            <wp:docPr id="3" name="图片 3" descr="http://www.china-medicines.com/images/image/201407141037051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china-medicines.com/images/image/2014071410370513513.jpg"/>
                    <pic:cNvPicPr>
                      <a:picLocks noChangeAspect="1" noChangeArrowheads="1"/>
                    </pic:cNvPicPr>
                  </pic:nvPicPr>
                  <pic:blipFill>
                    <a:blip r:embed="rId9"/>
                    <a:srcRect/>
                    <a:stretch>
                      <a:fillRect/>
                    </a:stretch>
                  </pic:blipFill>
                  <pic:spPr>
                    <a:xfrm>
                      <a:off x="0" y="0"/>
                      <a:ext cx="3514725" cy="3600450"/>
                    </a:xfrm>
                    <a:prstGeom prst="rect">
                      <a:avLst/>
                    </a:prstGeom>
                    <a:noFill/>
                    <a:ln w="9525">
                      <a:noFill/>
                      <a:miter lim="800000"/>
                      <a:headEnd/>
                      <a:tailEnd/>
                    </a:ln>
                  </pic:spPr>
                </pic:pic>
              </a:graphicData>
            </a:graphic>
          </wp:inline>
        </w:drawing>
      </w:r>
      <w:r>
        <w:rPr>
          <w:rFonts w:cs="Arial" w:asciiTheme="minorEastAsia" w:hAnsiTheme="minorEastAsia" w:eastAsiaTheme="minorEastAsia"/>
          <w:color w:val="000000" w:themeColor="text1"/>
          <w:kern w:val="0"/>
          <w:sz w:val="18"/>
          <w:szCs w:val="18"/>
        </w:rPr>
        <w:t> </w:t>
      </w:r>
      <w:bookmarkStart w:id="21" w:name="_Toc451594568"/>
    </w:p>
    <w:p w14:paraId="21DB4EE2">
      <w:pPr>
        <w:spacing w:line="360" w:lineRule="auto"/>
        <w:rPr>
          <w:rFonts w:hint="eastAsia" w:cs="仿宋_GB2312" w:asciiTheme="minorEastAsia" w:hAnsiTheme="minorEastAsia" w:eastAsiaTheme="minorEastAsia"/>
          <w:b/>
          <w:bCs/>
          <w:color w:val="000000" w:themeColor="text1"/>
          <w:sz w:val="28"/>
          <w:szCs w:val="28"/>
        </w:rPr>
        <w:sectPr>
          <w:pgSz w:w="11906" w:h="16838"/>
          <w:pgMar w:top="1383" w:right="1406" w:bottom="1213" w:left="1463" w:header="737" w:footer="850" w:gutter="0"/>
          <w:pgBorders>
            <w:top w:val="none" w:sz="0" w:space="0"/>
            <w:left w:val="none" w:sz="0" w:space="0"/>
            <w:bottom w:val="none" w:sz="0" w:space="0"/>
            <w:right w:val="none" w:sz="0" w:space="0"/>
          </w:pgBorders>
          <w:pgNumType w:fmt="decimal"/>
          <w:cols w:space="425" w:num="1"/>
          <w:docGrid w:type="lines" w:linePitch="312" w:charSpace="0"/>
        </w:sectPr>
      </w:pPr>
    </w:p>
    <w:p w14:paraId="02F6B976">
      <w:pPr>
        <w:spacing w:line="360" w:lineRule="auto"/>
        <w:outlineLvl w:val="0"/>
        <w:rPr>
          <w:rFonts w:cs="仿宋_GB2312" w:asciiTheme="minorEastAsia" w:hAnsiTheme="minorEastAsia" w:eastAsiaTheme="minorEastAsia"/>
          <w:b/>
          <w:bCs/>
          <w:color w:val="000000" w:themeColor="text1"/>
          <w:sz w:val="28"/>
          <w:szCs w:val="28"/>
        </w:rPr>
      </w:pPr>
      <w:bookmarkStart w:id="22" w:name="_Toc27223"/>
      <w:r>
        <w:rPr>
          <w:rFonts w:hint="eastAsia" w:cs="仿宋_GB2312" w:asciiTheme="minorEastAsia" w:hAnsiTheme="minorEastAsia" w:eastAsiaTheme="minorEastAsia"/>
          <w:b/>
          <w:bCs/>
          <w:color w:val="000000" w:themeColor="text1"/>
          <w:sz w:val="28"/>
          <w:szCs w:val="28"/>
        </w:rPr>
        <w:t>四、质量诚信管理</w:t>
      </w:r>
      <w:bookmarkEnd w:id="21"/>
      <w:bookmarkEnd w:id="22"/>
    </w:p>
    <w:p w14:paraId="0D4CAF35">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3" w:name="_Toc32539"/>
      <w:r>
        <w:rPr>
          <w:rFonts w:hint="eastAsia" w:cs="仿宋_GB2312" w:asciiTheme="minorEastAsia" w:hAnsiTheme="minorEastAsia" w:eastAsiaTheme="minorEastAsia"/>
          <w:b/>
          <w:bCs/>
          <w:color w:val="000000" w:themeColor="text1"/>
          <w:sz w:val="24"/>
        </w:rPr>
        <w:t>（一） 质量承诺</w:t>
      </w:r>
      <w:bookmarkEnd w:id="23"/>
    </w:p>
    <w:p w14:paraId="1B83FD91">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1、诚信守法</w:t>
      </w:r>
    </w:p>
    <w:p w14:paraId="6E1DB84A">
      <w:pPr>
        <w:spacing w:line="312" w:lineRule="auto"/>
        <w:ind w:firstLine="420" w:firstLineChars="200"/>
        <w:rPr>
          <w:rFonts w:cs="仿宋_GB2312" w:asciiTheme="minorEastAsia" w:hAnsiTheme="minorEastAsia" w:eastAsiaTheme="minorEastAsia"/>
          <w:color w:val="000000" w:themeColor="text1"/>
          <w:szCs w:val="21"/>
          <w:highlight w:val="yellow"/>
        </w:rPr>
      </w:pPr>
      <w:r>
        <w:rPr>
          <w:rFonts w:hint="eastAsia" w:cs="仿宋_GB2312" w:asciiTheme="minorEastAsia" w:hAnsiTheme="minorEastAsia" w:eastAsiaTheme="minorEastAsia"/>
          <w:color w:val="000000" w:themeColor="text1"/>
          <w:szCs w:val="21"/>
        </w:rPr>
        <w:t>高层领导遵循“依法经营、诚信经营”的管理理念，严格遵循《公司法》《经济法》《合同法》《产品质量法》《安全生产法》《环保法》《劳动法》以及机械行业的相关法律法规，并建立实施了质量、环境、职业健康安全管理体系，并都通过了认证。实施了员工法律法规知识培训，配合政府部门开展普法教育活动，鼓励表彰员工的“正能量”，使诚信守法的作风深入公司全体员工的意识和行为。公司合同主动违约率为零，从不拖欠银行贷款，逾期应收账款降至合理范围，公司高层、中层领导都没有违法乱纪纪录，员工违法次数为零，在顾客、供方、员工、社会中树立了良好的信用道德形象。公司被评为浙江省AAA级</w:t>
      </w:r>
      <w:r>
        <w:rPr>
          <w:rFonts w:hint="eastAsia" w:cs="仿宋_GB2312" w:asciiTheme="minorEastAsia" w:hAnsiTheme="minorEastAsia" w:eastAsiaTheme="minorEastAsia"/>
          <w:color w:val="000000" w:themeColor="text1"/>
          <w:szCs w:val="21"/>
          <w:lang w:eastAsia="zh-CN"/>
        </w:rPr>
        <w:t>“</w:t>
      </w:r>
      <w:r>
        <w:rPr>
          <w:rFonts w:hint="eastAsia" w:cs="仿宋_GB2312" w:asciiTheme="minorEastAsia" w:hAnsiTheme="minorEastAsia" w:eastAsiaTheme="minorEastAsia"/>
          <w:color w:val="000000" w:themeColor="text1"/>
          <w:szCs w:val="21"/>
        </w:rPr>
        <w:t>守合同重信用</w:t>
      </w:r>
      <w:r>
        <w:rPr>
          <w:rFonts w:hint="eastAsia" w:cs="仿宋_GB2312" w:asciiTheme="minorEastAsia" w:hAnsiTheme="minorEastAsia" w:eastAsiaTheme="minorEastAsia"/>
          <w:color w:val="000000" w:themeColor="text1"/>
          <w:szCs w:val="21"/>
          <w:lang w:eastAsia="zh-CN"/>
        </w:rPr>
        <w:t>”</w:t>
      </w:r>
      <w:r>
        <w:rPr>
          <w:rFonts w:hint="eastAsia" w:cs="仿宋_GB2312" w:asciiTheme="minorEastAsia" w:hAnsiTheme="minorEastAsia" w:eastAsiaTheme="minorEastAsia"/>
          <w:color w:val="000000" w:themeColor="text1"/>
          <w:szCs w:val="21"/>
        </w:rPr>
        <w:t>企业。</w:t>
      </w:r>
    </w:p>
    <w:p w14:paraId="44B0BC75">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2、满足客户需求</w:t>
      </w:r>
    </w:p>
    <w:p w14:paraId="18221BD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高度重视技术研发，通过自主研发产品，提升产品质量，以较高的性价比为客户提供高水平的产品。公司加强研发力量的投入，以客户需求为中心，积极听取客户关于功能、质量、成本等方面的意见和建议，开展产品改进和创新活动，满足客户对产品和交期的需求。在产品质量方面，公司严格执行质量管理体系，通过开展技术攻关、质量改进等活动，保障产品质量安全。</w:t>
      </w:r>
    </w:p>
    <w:p w14:paraId="5C7CAF2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多年来，公司在整个经营活动中，严格遵守与各有关方签订的保密协议，获得了顾客的高度评价，并经常被顾客约请参与顾客新项目的开发工作。</w:t>
      </w:r>
    </w:p>
    <w:p w14:paraId="41059C8A">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4" w:name="_Toc25700"/>
      <w:r>
        <w:rPr>
          <w:rFonts w:hint="eastAsia" w:cs="仿宋_GB2312" w:asciiTheme="minorEastAsia" w:hAnsiTheme="minorEastAsia" w:eastAsiaTheme="minorEastAsia"/>
          <w:b/>
          <w:bCs/>
          <w:color w:val="000000" w:themeColor="text1"/>
          <w:sz w:val="24"/>
        </w:rPr>
        <w:t>（二）运作管理</w:t>
      </w:r>
      <w:bookmarkEnd w:id="24"/>
    </w:p>
    <w:p w14:paraId="473D2BD9">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1、产品设计诚信管理</w:t>
      </w:r>
    </w:p>
    <w:p w14:paraId="498A4256">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公司产品设计与研发严格依照</w:t>
      </w:r>
      <w:r>
        <w:rPr>
          <w:rFonts w:hint="eastAsia" w:ascii="宋体" w:hAnsi="宋体" w:cs="宋体"/>
          <w:color w:val="000000" w:themeColor="text1"/>
          <w:spacing w:val="-20"/>
          <w:szCs w:val="21"/>
        </w:rPr>
        <w:t>设计开发</w:t>
      </w:r>
      <w:r>
        <w:rPr>
          <w:rFonts w:hint="eastAsia" w:cs="仿宋_GB2312" w:asciiTheme="minorEastAsia" w:hAnsiTheme="minorEastAsia" w:eastAsiaTheme="minorEastAsia"/>
          <w:color w:val="000000" w:themeColor="text1"/>
          <w:szCs w:val="21"/>
        </w:rPr>
        <w:t>流程，从研发立项、过程各类活动记录、研发过程总结、管理考评控制研发相关的整个过程。尊重他人知识和参与践行保护知识产权是公司设计开发工作的重要内容之一。</w:t>
      </w:r>
    </w:p>
    <w:p w14:paraId="7203BA0B">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2、原材料或零部件采购诚信管理</w:t>
      </w:r>
    </w:p>
    <w:p w14:paraId="5B17442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企业根据物料对产品质量构成的风险程度，将物料分类管理。对物料供应商，除了必须符合法定的资质外，还要定期进行现场查验。并对特种物料进行风险分析，视供应商提供物料的质量情况决定是否需进行现场审查。并对物料供应商应当建立质量档案。对采购的原材料批批进行检验，凡未达到规定标准的原材料一律不得入库使用。</w:t>
      </w:r>
    </w:p>
    <w:p w14:paraId="688DFCEF">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设备和零部件采购方面，对供应商的相关资质进行严格审查。在采购设备和零部件时，能够使用标准件的一律采购和使用标准件；需特殊加工的，需对使用效果进行充分验证，确保达到公司要求。所有设备在使用前必须经过设备验证，确保符合产品工艺要求。</w:t>
      </w:r>
    </w:p>
    <w:p w14:paraId="73206C59">
      <w:pPr>
        <w:spacing w:line="312" w:lineRule="auto"/>
        <w:ind w:firstLine="422" w:firstLineChars="200"/>
        <w:rPr>
          <w:rFonts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3、生产过程诚信管理</w:t>
      </w:r>
    </w:p>
    <w:p w14:paraId="29E9020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具体负责产品生产管理和现场流程管理工作。制定并逐步完善了生产管理制度、工作标准、岗位操作规程和工艺规程、管理规程、标准操作规程。采用车间集中培训和班前、班后会对各岗位操作人员进行全面的岗位技能培训，持证上岗，并采用多种方式进行督查、考核，增强员工质量意识，提高操作水平，在生产过程中，各级管理人员严格履行管理职责，及时检查，及时纠正差错，保证生产秩序的稳定。</w:t>
      </w:r>
    </w:p>
    <w:p w14:paraId="75D815AB">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对生产所需的原料、辅料、包装材料进行投料前复核，把好中间产品、成品的质量，严格执行“不生产不合格品，不接收不合格品，不流转不合格品”的“三不原则”，关键工序设质量控制点，督促员工做好自检、互检，执行监控核查规程，严格记录的管理，做到领用、发放和核对相统一。对每一生产步骤进行物料平衡，保证物料的投入和产品的产出数量与工艺要求相一致，确认无潜在质量隐患，符合账、物、卡一致的要求。</w:t>
      </w:r>
    </w:p>
    <w:p w14:paraId="4AD5F21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生产记录由</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负责审核、印制和保管。员工操作必须按要求及时填写生产记录，做到字迹清晰、内容真实、数据完整，操作人及复核人签名确认。生产结束后，组长把记录汇总、复核，及时上交</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，经</w:t>
      </w:r>
      <w:r>
        <w:rPr>
          <w:rFonts w:hint="eastAsia" w:cs="仿宋_GB2312" w:asciiTheme="minorEastAsia" w:hAnsiTheme="minorEastAsia" w:eastAsiaTheme="minorEastAsia"/>
          <w:color w:val="000000" w:themeColor="text1"/>
          <w:szCs w:val="21"/>
          <w:lang w:eastAsia="zh-CN"/>
        </w:rPr>
        <w:t>生产部</w:t>
      </w:r>
      <w:r>
        <w:rPr>
          <w:rFonts w:hint="eastAsia" w:cs="仿宋_GB2312" w:asciiTheme="minorEastAsia" w:hAnsiTheme="minorEastAsia" w:eastAsiaTheme="minorEastAsia"/>
          <w:color w:val="000000" w:themeColor="text1"/>
          <w:szCs w:val="21"/>
        </w:rPr>
        <w:t>或</w:t>
      </w:r>
      <w:r>
        <w:rPr>
          <w:rFonts w:hint="eastAsia" w:cs="仿宋_GB2312" w:asciiTheme="minorEastAsia" w:hAnsiTheme="minorEastAsia" w:eastAsiaTheme="minorEastAsia"/>
          <w:color w:val="000000" w:themeColor="text1"/>
          <w:szCs w:val="21"/>
          <w:lang w:eastAsia="zh-CN"/>
        </w:rPr>
        <w:t>技质部</w:t>
      </w:r>
      <w:r>
        <w:rPr>
          <w:rFonts w:hint="eastAsia" w:cs="仿宋_GB2312" w:asciiTheme="minorEastAsia" w:hAnsiTheme="minorEastAsia" w:eastAsiaTheme="minorEastAsia"/>
          <w:color w:val="000000" w:themeColor="text1"/>
          <w:szCs w:val="21"/>
        </w:rPr>
        <w:t>审核无误后，按批号整理归档，由专人管理。</w:t>
      </w:r>
    </w:p>
    <w:p w14:paraId="78B56F82">
      <w:pPr>
        <w:spacing w:line="312" w:lineRule="auto"/>
        <w:ind w:firstLine="315" w:firstLineChars="15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根据行业特点及实际情况，加强生产过程的信息化建设水平，在应用ERP系统对整个过程进行数据采集和监控，对公司整个生产过程实行系统化管理。同时，挖掘内部潜力，发挥技术骨干人员的力量，开展对现有设备进行持续性改造或科技创新工作，成立技术攻关小组，对薄弱环节进行技术攻关，完成了多项技术攻关工作和防错设计及自动化设计制作；生产员工上岗前要经过培训及考核，建立全员培训档案，通过集中培训、班前会培训、“传、帮、带”、目视化等多种方式进行培训，强化其工作技能和质量意识。生产员工严格遵守车间纪律。</w:t>
      </w:r>
    </w:p>
    <w:p w14:paraId="19674EC1">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5" w:name="_Toc32700"/>
      <w:r>
        <w:rPr>
          <w:rFonts w:hint="eastAsia" w:cs="仿宋_GB2312" w:asciiTheme="minorEastAsia" w:hAnsiTheme="minorEastAsia" w:eastAsiaTheme="minorEastAsia"/>
          <w:b/>
          <w:bCs/>
          <w:color w:val="000000" w:themeColor="text1"/>
          <w:sz w:val="24"/>
        </w:rPr>
        <w:t>（三）营销管理</w:t>
      </w:r>
      <w:bookmarkEnd w:id="25"/>
    </w:p>
    <w:p w14:paraId="46029FE3">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根据战略要求，对市场进行细分，以提高资源和运作的有效性针对性。公司将顾客分为不同类型。针对不同类型顾客确定顾客的需求与期望，针对其需求与期望来确定适当的方法，建立相应的体系与团队，建立各种渠道和方法，针对性的进行顾客需求与期望的了解。</w:t>
      </w:r>
    </w:p>
    <w:p w14:paraId="109EEAD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公司通过展览会、行业会议、行业标委会、公共媒体、互联网、外部机构等渠道，以问卷调查、面对面或电话访谈、观察查询、外部委托等方法，了解客户的需求和期望。</w:t>
      </w:r>
    </w:p>
    <w:p w14:paraId="58879D2D">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各部门定期搜集顾客信息，解析后确定的顾客需求信息按照不同细分市场进行分类梳理总结，形成不同顾客群的需求与期望数据库，并从中归纳出针对不同细分市场顾客群总体需求特点的汇总资料，供产品规划、产品开发设计、过程控制等决策时参考。</w:t>
      </w:r>
    </w:p>
    <w:p w14:paraId="76456E34">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公司树立“以客户需求为导向”的服务理念，要求业务人员对于任何一位客户，不论他下单与否，都要做到热情、周到，都要尽量满足他们的所有合理需求。制订了</w:t>
      </w:r>
      <w:r>
        <w:rPr>
          <w:rFonts w:hint="eastAsia" w:cs="仿宋_GB2312" w:asciiTheme="minorEastAsia" w:hAnsiTheme="minorEastAsia" w:eastAsiaTheme="minorEastAsia"/>
          <w:color w:val="000000" w:themeColor="text1"/>
          <w:szCs w:val="21"/>
          <w:highlight w:val="none"/>
        </w:rPr>
        <w:t>《</w:t>
      </w:r>
      <w:r>
        <w:rPr>
          <w:rFonts w:hint="eastAsia" w:ascii="宋体" w:hAnsi="宋体" w:cs="宋体"/>
          <w:color w:val="000000" w:themeColor="text1"/>
          <w:szCs w:val="21"/>
          <w:highlight w:val="none"/>
        </w:rPr>
        <w:t>顾客满意度</w:t>
      </w:r>
      <w:r>
        <w:rPr>
          <w:rFonts w:hint="eastAsia" w:ascii="宋体" w:hAnsi="宋体" w:cs="宋体"/>
          <w:color w:val="000000" w:themeColor="text1"/>
          <w:szCs w:val="21"/>
          <w:highlight w:val="none"/>
          <w:lang w:val="en-US" w:eastAsia="zh-CN"/>
        </w:rPr>
        <w:t>监测</w:t>
      </w:r>
      <w:r>
        <w:rPr>
          <w:rFonts w:hint="eastAsia" w:ascii="宋体" w:hAnsi="宋体" w:cs="宋体"/>
          <w:color w:val="000000" w:themeColor="text1"/>
          <w:szCs w:val="21"/>
          <w:highlight w:val="none"/>
        </w:rPr>
        <w:t>控制程序</w:t>
      </w:r>
      <w:r>
        <w:rPr>
          <w:rFonts w:hint="eastAsia" w:cs="仿宋_GB2312" w:asciiTheme="minorEastAsia" w:hAnsiTheme="minorEastAsia" w:eastAsiaTheme="minorEastAsia"/>
          <w:color w:val="000000" w:themeColor="text1"/>
          <w:szCs w:val="21"/>
          <w:highlight w:val="none"/>
        </w:rPr>
        <w:t>》</w:t>
      </w:r>
      <w:r>
        <w:rPr>
          <w:rFonts w:hint="eastAsia" w:cs="仿宋_GB2312" w:asciiTheme="minorEastAsia" w:hAnsiTheme="minorEastAsia" w:eastAsiaTheme="minorEastAsia"/>
          <w:color w:val="000000" w:themeColor="text1"/>
          <w:szCs w:val="21"/>
        </w:rPr>
        <w:t>等相关流程，从各方面增加业务人员的技能和素质，提升了顾客满意率。</w:t>
      </w:r>
    </w:p>
    <w:p w14:paraId="7E4AB62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公司建立顾客走访制度，及时了解顾客需求和满意情况，以提升顾客满意度。</w:t>
      </w:r>
    </w:p>
    <w:p w14:paraId="04E920A7">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公司建立及时反馈处理用户投诉意见的快速反应机制解决问题的规定。对顾客的投诉意见，2小时内做出响应和回馈；2个工作日内制定并实施临时措施；14个工作日内完成永久措施并实施。</w:t>
      </w:r>
    </w:p>
    <w:p w14:paraId="3726FE30">
      <w:pPr>
        <w:spacing w:line="360" w:lineRule="auto"/>
        <w:rPr>
          <w:rFonts w:hint="eastAsia" w:cs="仿宋_GB2312" w:asciiTheme="minorEastAsia" w:hAnsiTheme="minorEastAsia" w:eastAsiaTheme="minorEastAsia"/>
          <w:b/>
          <w:color w:val="000000" w:themeColor="text1"/>
          <w:sz w:val="28"/>
          <w:szCs w:val="28"/>
        </w:rPr>
        <w:sectPr>
          <w:pgSz w:w="11906" w:h="16838"/>
          <w:pgMar w:top="1440" w:right="1406" w:bottom="1440" w:left="1463"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6" w:name="_Toc451594569"/>
    </w:p>
    <w:p w14:paraId="4DB9A729">
      <w:pPr>
        <w:spacing w:line="360" w:lineRule="auto"/>
        <w:outlineLvl w:val="0"/>
        <w:rPr>
          <w:rFonts w:cs="仿宋_GB2312" w:asciiTheme="minorEastAsia" w:hAnsiTheme="minorEastAsia" w:eastAsiaTheme="minorEastAsia"/>
          <w:b/>
          <w:color w:val="000000" w:themeColor="text1"/>
          <w:sz w:val="28"/>
          <w:szCs w:val="28"/>
        </w:rPr>
      </w:pPr>
      <w:bookmarkStart w:id="27" w:name="_Toc27215"/>
      <w:r>
        <w:rPr>
          <w:rFonts w:hint="eastAsia" w:cs="仿宋_GB2312" w:asciiTheme="minorEastAsia" w:hAnsiTheme="minorEastAsia" w:eastAsiaTheme="minorEastAsia"/>
          <w:b/>
          <w:color w:val="000000" w:themeColor="text1"/>
          <w:sz w:val="28"/>
          <w:szCs w:val="28"/>
        </w:rPr>
        <w:t>五、质量管理基础</w:t>
      </w:r>
      <w:bookmarkEnd w:id="26"/>
      <w:bookmarkEnd w:id="27"/>
    </w:p>
    <w:p w14:paraId="51C62C1F">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8" w:name="_Toc23093"/>
      <w:r>
        <w:rPr>
          <w:rFonts w:hint="eastAsia" w:cs="仿宋_GB2312" w:asciiTheme="minorEastAsia" w:hAnsiTheme="minorEastAsia" w:eastAsiaTheme="minorEastAsia"/>
          <w:b/>
          <w:bCs/>
          <w:color w:val="000000" w:themeColor="text1"/>
          <w:sz w:val="24"/>
        </w:rPr>
        <w:t>（一）标准管理</w:t>
      </w:r>
      <w:bookmarkEnd w:id="28"/>
    </w:p>
    <w:p w14:paraId="15846882">
      <w:pPr>
        <w:pStyle w:val="20"/>
        <w:spacing w:before="0" w:beforeAutospacing="0" w:after="0" w:afterAutospacing="0" w:line="312" w:lineRule="auto"/>
        <w:ind w:firstLine="525" w:firstLineChars="250"/>
        <w:rPr>
          <w:color w:val="777777"/>
          <w:sz w:val="21"/>
          <w:szCs w:val="21"/>
        </w:rPr>
      </w:pPr>
      <w:r>
        <w:rPr>
          <w:color w:val="000000"/>
          <w:sz w:val="21"/>
          <w:szCs w:val="21"/>
        </w:rPr>
        <w:t>公司遵照顾客要求，设计和生产制造过程中积极采用国家标准及国</w:t>
      </w:r>
      <w:r>
        <w:rPr>
          <w:rFonts w:hint="eastAsia"/>
          <w:color w:val="000000"/>
          <w:sz w:val="21"/>
          <w:szCs w:val="21"/>
        </w:rPr>
        <w:t>际</w:t>
      </w:r>
      <w:r>
        <w:rPr>
          <w:color w:val="000000"/>
          <w:sz w:val="21"/>
          <w:szCs w:val="21"/>
        </w:rPr>
        <w:t>标准，如采用国际标准化组织标准（ISO），国家标准（GB）、行业标准等，大大提高了产品的质量，促进了公司国内外市场的发展。</w:t>
      </w:r>
    </w:p>
    <w:p w14:paraId="0862A7C9">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将企业标准化贯穿于生产全过程，从原辅材料、包装材料的采购、半成品、成品检验等各个环节，均制定了相关内部标准。从而使产品从原辅材料进厂到成品出厂的整个生产过程都处于标准化规范管理之中，对稳定产品质量、提高企业管理水平奠定了良好的基础。</w:t>
      </w:r>
    </w:p>
    <w:p w14:paraId="212827EB">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29" w:name="_Toc2897"/>
      <w:r>
        <w:rPr>
          <w:rFonts w:hint="eastAsia" w:cs="仿宋_GB2312" w:asciiTheme="minorEastAsia" w:hAnsiTheme="minorEastAsia" w:eastAsiaTheme="minorEastAsia"/>
          <w:b/>
          <w:bCs/>
          <w:color w:val="000000" w:themeColor="text1"/>
          <w:sz w:val="24"/>
        </w:rPr>
        <w:t>（二）计量管理</w:t>
      </w:r>
      <w:bookmarkEnd w:id="29"/>
    </w:p>
    <w:p w14:paraId="00DD9BD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严格执行《中华人民共和国计量法》等文件法规，从原材料采购、过程管理、生产设备、检验设备、工序检验、成品检验等环节建立了一整套管理文件和控制方法。公司设有专兼职计量人员负责公司的在用计量设备管理、配备和定期校检工作，注重对计量管理人员的专业培训，为公司的计量管理的规范化提供了有力的保障。</w:t>
      </w:r>
    </w:p>
    <w:p w14:paraId="732729C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为确保产品质量，在产品生产工艺中严格过程控制，对生产工艺过程中的原辅材料等加强计量管理，确保计量设备的正常运行和计量的准确性。</w:t>
      </w:r>
    </w:p>
    <w:p w14:paraId="1242D3B1">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对计量器具从采购、入库出库严格按照审批计划和管理程序执行，仓库有专人保管计量器具，建立台帐和登记手续，计量器具的领用出库必须通过检定，有检定合格证方可投入使用；对在用的计量器具严格按周期检定，强化现场检查和监管，掌握其使用情况，发现问题及时处理；对存在问题部门提出整改意见，采取积极有效措施进行整改，为生产优质产品奠定了坚实的的计量基础。</w:t>
      </w:r>
    </w:p>
    <w:p w14:paraId="2FA536F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在设计和开发阶段，就对关键特性实施测量系统分析，确保了测量结果的有效性。每种新的测量系统，都是在系统分析并满足要求后，方可投入使用。</w:t>
      </w:r>
    </w:p>
    <w:p w14:paraId="133FF16F">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30" w:name="_Toc1664"/>
      <w:r>
        <w:rPr>
          <w:rFonts w:hint="eastAsia" w:cs="仿宋_GB2312" w:asciiTheme="minorEastAsia" w:hAnsiTheme="minorEastAsia" w:eastAsiaTheme="minorEastAsia"/>
          <w:b/>
          <w:bCs/>
          <w:color w:val="000000" w:themeColor="text1"/>
          <w:sz w:val="24"/>
        </w:rPr>
        <w:t>（三）认证管理</w:t>
      </w:r>
      <w:bookmarkEnd w:id="30"/>
    </w:p>
    <w:p w14:paraId="22BB5C70">
      <w:pPr>
        <w:pStyle w:val="107"/>
        <w:spacing w:beforeLines="0" w:afterLines="0" w:line="312" w:lineRule="auto"/>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公司已通过质量管理体系认证、环境管理体系认证、职业健康安全管理体系认证，</w:t>
      </w:r>
      <w:r>
        <w:rPr>
          <w:rFonts w:hint="eastAsia" w:asciiTheme="minorEastAsia" w:hAnsiTheme="minorEastAsia" w:eastAsiaTheme="minorEastAsia"/>
          <w:sz w:val="21"/>
          <w:szCs w:val="21"/>
          <w:lang w:val="en-US" w:eastAsia="zh-CN"/>
        </w:rPr>
        <w:t>部分产品通过CCC认证，</w:t>
      </w:r>
      <w:r>
        <w:rPr>
          <w:rFonts w:hint="eastAsia" w:asciiTheme="minorEastAsia" w:hAnsiTheme="minorEastAsia" w:eastAsiaTheme="minorEastAsia"/>
          <w:sz w:val="21"/>
          <w:szCs w:val="21"/>
        </w:rPr>
        <w:t>并开展“浙江制造”品牌认证流程，公司严格按国际标准运行改进体系，使企业产品的质量得到有力的保障，从而使企业“</w:t>
      </w:r>
      <w:r>
        <w:rPr>
          <w:rFonts w:hint="eastAsia" w:asciiTheme="minorEastAsia" w:hAnsiTheme="minorEastAsia" w:eastAsiaTheme="minorEastAsia"/>
          <w:sz w:val="21"/>
          <w:szCs w:val="21"/>
          <w:lang w:eastAsia="zh-CN"/>
        </w:rPr>
        <w:t>科学管理，提供顾客满意</w:t>
      </w:r>
      <w:r>
        <w:rPr>
          <w:rFonts w:hint="eastAsia" w:asciiTheme="minorEastAsia" w:hAnsiTheme="minorEastAsia" w:eastAsiaTheme="minorEastAsia"/>
          <w:sz w:val="21"/>
          <w:szCs w:val="21"/>
        </w:rPr>
        <w:t>”的质量方针得以顺利推行。公司建立以来，公司从未出现过重大质量投诉，在历年接受各级质量技术部门的抽检中，合格率均达100%。</w:t>
      </w:r>
    </w:p>
    <w:p w14:paraId="2A3E814A">
      <w:pPr>
        <w:rPr>
          <w:rFonts w:hint="eastAsia" w:ascii="宋体" w:hAnsi="宋体"/>
          <w:b/>
          <w:color w:val="000000"/>
          <w:szCs w:val="21"/>
        </w:rPr>
      </w:pPr>
      <w:r>
        <w:rPr>
          <w:rFonts w:hint="eastAsia" w:ascii="宋体" w:hAnsi="宋体"/>
          <w:b/>
          <w:color w:val="000000"/>
          <w:szCs w:val="21"/>
        </w:rPr>
        <w:br w:type="page"/>
      </w:r>
    </w:p>
    <w:p w14:paraId="344763F2">
      <w:pPr>
        <w:spacing w:beforeLines="50"/>
        <w:jc w:val="center"/>
        <w:rPr>
          <w:rFonts w:ascii="宋体" w:hAnsi="宋体"/>
          <w:b/>
          <w:color w:val="000000"/>
          <w:szCs w:val="21"/>
        </w:rPr>
      </w:pPr>
      <w:r>
        <w:rPr>
          <w:rFonts w:hint="eastAsia" w:ascii="宋体" w:hAnsi="宋体"/>
          <w:b/>
          <w:color w:val="000000"/>
          <w:szCs w:val="21"/>
        </w:rPr>
        <w:t>图</w:t>
      </w:r>
      <w:r>
        <w:rPr>
          <w:rFonts w:hint="eastAsia" w:ascii="宋体" w:hAnsi="宋体"/>
          <w:b/>
          <w:color w:val="000000"/>
          <w:szCs w:val="21"/>
          <w:lang w:val="en-US" w:eastAsia="zh-CN"/>
        </w:rPr>
        <w:t>5</w:t>
      </w:r>
      <w:r>
        <w:rPr>
          <w:rFonts w:hint="eastAsia" w:ascii="宋体" w:hAnsi="宋体"/>
          <w:b/>
          <w:color w:val="000000"/>
          <w:szCs w:val="21"/>
        </w:rPr>
        <w:t xml:space="preserve"> 质量、环境、职业健康安全体系认证证书</w:t>
      </w:r>
    </w:p>
    <w:p w14:paraId="0F69D89D">
      <w:pPr>
        <w:spacing w:beforeLines="50" w:line="360" w:lineRule="auto"/>
        <w:jc w:val="center"/>
        <w:rPr>
          <w:rFonts w:hint="eastAsia" w:ascii="宋体" w:hAnsi="宋体" w:eastAsia="宋体"/>
          <w:b/>
          <w:color w:val="000000"/>
          <w:sz w:val="24"/>
          <w:lang w:eastAsia="zh-CN"/>
        </w:rPr>
      </w:pPr>
      <w:r>
        <w:rPr>
          <w:rFonts w:hint="eastAsia" w:ascii="宋体" w:hAnsi="宋体" w:eastAsia="宋体"/>
          <w:b/>
          <w:color w:val="000000"/>
          <w:sz w:val="24"/>
          <w:lang w:eastAsia="zh-CN"/>
        </w:rPr>
        <w:drawing>
          <wp:inline distT="0" distB="0" distL="114300" distR="114300">
            <wp:extent cx="3721100" cy="4864100"/>
            <wp:effectExtent l="0" t="0" r="0" b="0"/>
            <wp:docPr id="2" name="图片 2" descr="172472037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24720378106"/>
                    <pic:cNvPicPr>
                      <a:picLocks noChangeAspect="1"/>
                    </pic:cNvPicPr>
                  </pic:nvPicPr>
                  <pic:blipFill>
                    <a:blip r:embed="rId10"/>
                    <a:stretch>
                      <a:fillRect/>
                    </a:stretch>
                  </pic:blipFill>
                  <pic:spPr>
                    <a:xfrm>
                      <a:off x="0" y="0"/>
                      <a:ext cx="3721100" cy="4864100"/>
                    </a:xfrm>
                    <a:prstGeom prst="rect">
                      <a:avLst/>
                    </a:prstGeom>
                  </pic:spPr>
                </pic:pic>
              </a:graphicData>
            </a:graphic>
          </wp:inline>
        </w:drawing>
      </w:r>
      <w:r>
        <w:rPr>
          <w:rFonts w:hint="eastAsia" w:ascii="宋体" w:hAnsi="宋体" w:eastAsia="宋体"/>
          <w:b/>
          <w:color w:val="000000"/>
          <w:sz w:val="24"/>
          <w:lang w:eastAsia="zh-CN"/>
        </w:rPr>
        <w:drawing>
          <wp:inline distT="0" distB="0" distL="114300" distR="114300">
            <wp:extent cx="3790950" cy="4857750"/>
            <wp:effectExtent l="0" t="0" r="6350" b="6350"/>
            <wp:docPr id="5" name="图片 5" descr="172472043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24720436982"/>
                    <pic:cNvPicPr>
                      <a:picLocks noChangeAspect="1"/>
                    </pic:cNvPicPr>
                  </pic:nvPicPr>
                  <pic:blipFill>
                    <a:blip r:embed="rId11"/>
                    <a:stretch>
                      <a:fillRect/>
                    </a:stretch>
                  </pic:blipFill>
                  <pic:spPr>
                    <a:xfrm>
                      <a:off x="0" y="0"/>
                      <a:ext cx="3790950" cy="4857750"/>
                    </a:xfrm>
                    <a:prstGeom prst="rect">
                      <a:avLst/>
                    </a:prstGeom>
                  </pic:spPr>
                </pic:pic>
              </a:graphicData>
            </a:graphic>
          </wp:inline>
        </w:drawing>
      </w:r>
    </w:p>
    <w:p w14:paraId="596751F6">
      <w:pPr>
        <w:spacing w:beforeLines="50" w:line="360" w:lineRule="auto"/>
        <w:jc w:val="center"/>
        <w:rPr>
          <w:rFonts w:hint="eastAsia" w:ascii="宋体" w:hAnsi="宋体" w:eastAsia="宋体"/>
          <w:b/>
          <w:color w:val="000000"/>
          <w:sz w:val="24"/>
          <w:lang w:eastAsia="zh-CN"/>
        </w:rPr>
      </w:pPr>
      <w:r>
        <w:rPr>
          <w:rFonts w:hint="eastAsia" w:ascii="宋体" w:hAnsi="宋体" w:eastAsia="宋体"/>
          <w:b/>
          <w:color w:val="000000"/>
          <w:sz w:val="24"/>
          <w:lang w:eastAsia="zh-CN"/>
        </w:rPr>
        <w:drawing>
          <wp:inline distT="0" distB="0" distL="114300" distR="114300">
            <wp:extent cx="3854450" cy="4902200"/>
            <wp:effectExtent l="0" t="0" r="6350" b="0"/>
            <wp:docPr id="4" name="图片 4" descr="1724720406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24720406826"/>
                    <pic:cNvPicPr>
                      <a:picLocks noChangeAspect="1"/>
                    </pic:cNvPicPr>
                  </pic:nvPicPr>
                  <pic:blipFill>
                    <a:blip r:embed="rId12"/>
                    <a:stretch>
                      <a:fillRect/>
                    </a:stretch>
                  </pic:blipFill>
                  <pic:spPr>
                    <a:xfrm>
                      <a:off x="0" y="0"/>
                      <a:ext cx="3854450" cy="4902200"/>
                    </a:xfrm>
                    <a:prstGeom prst="rect">
                      <a:avLst/>
                    </a:prstGeom>
                  </pic:spPr>
                </pic:pic>
              </a:graphicData>
            </a:graphic>
          </wp:inline>
        </w:drawing>
      </w:r>
    </w:p>
    <w:p w14:paraId="72CEF96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outlineLvl w:val="1"/>
        <w:rPr>
          <w:rFonts w:cs="仿宋_GB2312" w:asciiTheme="minorEastAsia" w:hAnsiTheme="minorEastAsia" w:eastAsiaTheme="minorEastAsia"/>
          <w:b/>
          <w:bCs/>
          <w:color w:val="000000" w:themeColor="text1"/>
          <w:sz w:val="24"/>
        </w:rPr>
      </w:pPr>
      <w:bookmarkStart w:id="31" w:name="_Toc30368"/>
      <w:r>
        <w:rPr>
          <w:rFonts w:hint="eastAsia" w:cs="仿宋_GB2312" w:asciiTheme="minorEastAsia" w:hAnsiTheme="minorEastAsia" w:eastAsiaTheme="minorEastAsia"/>
          <w:b/>
          <w:bCs/>
          <w:color w:val="000000" w:themeColor="text1"/>
          <w:sz w:val="24"/>
        </w:rPr>
        <w:t>（四）检验检测管理</w:t>
      </w:r>
      <w:bookmarkEnd w:id="31"/>
    </w:p>
    <w:p w14:paraId="05299467">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通过对进货的检验与试验，以保证采购部提供的物资符合规定的要求。质检部负责编制进货检验与试验规程，负责物资进货的抽检；采购部负责不合格物资，材料处理；仓库物流部门负责点收物资的进货数量、名称和重量和系统及账务等。</w:t>
      </w:r>
    </w:p>
    <w:p w14:paraId="5B9A27C2">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为保证所有产品在生产过程中都通过规定的检验后才能进入下一道工序，公司制定</w:t>
      </w:r>
      <w:r>
        <w:rPr>
          <w:rFonts w:hint="eastAsia" w:cs="仿宋_GB2312" w:asciiTheme="minorEastAsia" w:hAnsiTheme="minorEastAsia" w:eastAsiaTheme="minorEastAsia"/>
          <w:color w:val="000000" w:themeColor="text1"/>
          <w:szCs w:val="21"/>
          <w:highlight w:val="none"/>
        </w:rPr>
        <w:t>《</w:t>
      </w:r>
      <w:r>
        <w:rPr>
          <w:rFonts w:hint="eastAsia" w:cs="仿宋_GB2312" w:asciiTheme="minorEastAsia" w:hAnsiTheme="minorEastAsia" w:eastAsiaTheme="minorEastAsia"/>
          <w:color w:val="000000" w:themeColor="text1"/>
          <w:szCs w:val="21"/>
          <w:highlight w:val="none"/>
          <w:lang w:eastAsia="zh-CN"/>
        </w:rPr>
        <w:t>不合格品控制程序</w:t>
      </w:r>
      <w:r>
        <w:rPr>
          <w:rFonts w:hint="eastAsia" w:cs="仿宋_GB2312" w:asciiTheme="minorEastAsia" w:hAnsiTheme="minorEastAsia" w:eastAsiaTheme="minorEastAsia"/>
          <w:color w:val="000000" w:themeColor="text1"/>
          <w:szCs w:val="21"/>
          <w:highlight w:val="none"/>
        </w:rPr>
        <w:t>》《</w:t>
      </w:r>
      <w:r>
        <w:rPr>
          <w:rFonts w:hint="eastAsia"/>
          <w:szCs w:val="21"/>
          <w:highlight w:val="none"/>
        </w:rPr>
        <w:t>检验</w:t>
      </w:r>
      <w:r>
        <w:rPr>
          <w:rFonts w:hint="eastAsia"/>
          <w:szCs w:val="21"/>
          <w:highlight w:val="none"/>
          <w:lang w:val="en-US" w:eastAsia="zh-CN"/>
        </w:rPr>
        <w:t>规范</w:t>
      </w:r>
      <w:r>
        <w:rPr>
          <w:rFonts w:hint="eastAsia" w:cs="仿宋_GB2312" w:asciiTheme="minorEastAsia" w:hAnsiTheme="minorEastAsia" w:eastAsiaTheme="minorEastAsia"/>
          <w:color w:val="000000" w:themeColor="text1"/>
          <w:szCs w:val="21"/>
          <w:highlight w:val="none"/>
        </w:rPr>
        <w:t>》</w:t>
      </w:r>
      <w:r>
        <w:rPr>
          <w:rFonts w:hint="eastAsia" w:cs="仿宋_GB2312" w:asciiTheme="minorEastAsia" w:hAnsiTheme="minorEastAsia" w:eastAsiaTheme="minorEastAsia"/>
          <w:color w:val="000000" w:themeColor="text1"/>
          <w:szCs w:val="21"/>
        </w:rPr>
        <w:t>开展严格的过程检验和试验。</w:t>
      </w:r>
      <w:r>
        <w:rPr>
          <w:rFonts w:hint="eastAsia" w:cs="仿宋_GB2312" w:asciiTheme="minorEastAsia" w:hAnsiTheme="minorEastAsia" w:eastAsiaTheme="minorEastAsia"/>
          <w:color w:val="000000" w:themeColor="text1"/>
          <w:szCs w:val="21"/>
          <w:lang w:eastAsia="zh-CN"/>
        </w:rPr>
        <w:t>技质部</w:t>
      </w:r>
      <w:r>
        <w:rPr>
          <w:rFonts w:hint="eastAsia" w:cs="仿宋_GB2312" w:asciiTheme="minorEastAsia" w:hAnsiTheme="minorEastAsia" w:eastAsiaTheme="minorEastAsia"/>
          <w:color w:val="000000" w:themeColor="text1"/>
          <w:szCs w:val="21"/>
        </w:rPr>
        <w:t>负责制订过程及最终检验和试验规程，设立最终检验的检验点，并负责组织过程检验工作；质检员负责检验点的检查、半成品、成品的检验；各生产操作工负责自检、互检工作。公司配备了先进的检测设备，见下表：</w:t>
      </w:r>
    </w:p>
    <w:p w14:paraId="33E51751">
      <w:pPr>
        <w:pStyle w:val="63"/>
        <w:spacing w:before="93" w:afterLines="0"/>
        <w:rPr>
          <w:rFonts w:ascii="宋体" w:hAnsi="宋体"/>
          <w:bCs/>
          <w:szCs w:val="21"/>
        </w:rPr>
      </w:pPr>
      <w:r>
        <w:rPr>
          <w:rFonts w:hint="eastAsia" w:ascii="宋体" w:hAnsi="宋体"/>
          <w:bCs/>
          <w:szCs w:val="21"/>
        </w:rPr>
        <w:t>图表</w:t>
      </w:r>
      <w:r>
        <w:rPr>
          <w:rFonts w:hint="eastAsia" w:ascii="宋体" w:hAnsi="宋体"/>
          <w:bCs/>
          <w:szCs w:val="21"/>
          <w:lang w:val="en-US" w:eastAsia="zh-CN"/>
        </w:rPr>
        <w:t xml:space="preserve">6 </w:t>
      </w:r>
      <w:r>
        <w:rPr>
          <w:rFonts w:hint="eastAsia" w:ascii="宋体" w:hAnsi="宋体"/>
          <w:bCs/>
          <w:szCs w:val="21"/>
        </w:rPr>
        <w:t>先进测量设备举例</w:t>
      </w:r>
    </w:p>
    <w:tbl>
      <w:tblPr>
        <w:tblStyle w:val="23"/>
        <w:tblW w:w="9016"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768"/>
        <w:gridCol w:w="3179"/>
        <w:gridCol w:w="3487"/>
        <w:gridCol w:w="1582"/>
      </w:tblGrid>
      <w:tr w14:paraId="7DDF703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top w:val="single" w:color="auto" w:sz="4" w:space="0"/>
              <w:left w:val="single" w:color="auto" w:sz="4" w:space="0"/>
            </w:tcBorders>
            <w:shd w:val="clear" w:color="auto" w:fill="DBE5F1"/>
            <w:vAlign w:val="center"/>
          </w:tcPr>
          <w:p w14:paraId="2025FD6C">
            <w:pPr>
              <w:pStyle w:val="106"/>
              <w:spacing w:line="240" w:lineRule="auto"/>
              <w:rPr>
                <w:rFonts w:ascii="宋体" w:hAnsi="宋体" w:eastAsia="宋体"/>
                <w:b/>
                <w:bCs/>
                <w:sz w:val="21"/>
                <w:szCs w:val="21"/>
              </w:rPr>
            </w:pPr>
            <w:r>
              <w:rPr>
                <w:rFonts w:hint="eastAsia" w:ascii="宋体" w:hAnsi="宋体" w:eastAsia="宋体"/>
                <w:b/>
                <w:bCs/>
                <w:sz w:val="21"/>
                <w:szCs w:val="21"/>
              </w:rPr>
              <w:t>序号</w:t>
            </w:r>
          </w:p>
        </w:tc>
        <w:tc>
          <w:tcPr>
            <w:tcW w:w="3179" w:type="dxa"/>
            <w:tcBorders>
              <w:top w:val="single" w:color="auto" w:sz="4" w:space="0"/>
            </w:tcBorders>
            <w:shd w:val="clear" w:color="auto" w:fill="DBE5F1"/>
            <w:vAlign w:val="center"/>
          </w:tcPr>
          <w:p w14:paraId="25812BCA">
            <w:pPr>
              <w:pStyle w:val="106"/>
              <w:spacing w:line="240" w:lineRule="auto"/>
              <w:rPr>
                <w:rFonts w:ascii="宋体" w:hAnsi="宋体" w:eastAsia="宋体"/>
                <w:b/>
                <w:bCs/>
                <w:sz w:val="21"/>
                <w:szCs w:val="21"/>
              </w:rPr>
            </w:pPr>
            <w:r>
              <w:rPr>
                <w:rFonts w:hint="eastAsia" w:ascii="宋体" w:hAnsi="宋体" w:eastAsia="宋体"/>
                <w:b/>
                <w:bCs/>
                <w:sz w:val="21"/>
                <w:szCs w:val="21"/>
              </w:rPr>
              <w:t>仪器名称及型号</w:t>
            </w:r>
          </w:p>
        </w:tc>
        <w:tc>
          <w:tcPr>
            <w:tcW w:w="3487" w:type="dxa"/>
            <w:tcBorders>
              <w:top w:val="single" w:color="auto" w:sz="4" w:space="0"/>
            </w:tcBorders>
            <w:shd w:val="clear" w:color="auto" w:fill="DBE5F1"/>
            <w:vAlign w:val="center"/>
          </w:tcPr>
          <w:p w14:paraId="1ECF8511">
            <w:pPr>
              <w:pStyle w:val="106"/>
              <w:spacing w:line="240" w:lineRule="auto"/>
              <w:rPr>
                <w:rFonts w:ascii="宋体" w:hAnsi="宋体" w:eastAsia="宋体"/>
                <w:b/>
                <w:bCs/>
                <w:sz w:val="21"/>
                <w:szCs w:val="21"/>
              </w:rPr>
            </w:pPr>
            <w:r>
              <w:rPr>
                <w:rFonts w:hint="eastAsia" w:ascii="宋体" w:hAnsi="宋体" w:eastAsia="宋体"/>
                <w:b/>
                <w:bCs/>
                <w:sz w:val="21"/>
                <w:szCs w:val="21"/>
              </w:rPr>
              <w:t>检测项目</w:t>
            </w:r>
          </w:p>
        </w:tc>
        <w:tc>
          <w:tcPr>
            <w:tcW w:w="1582" w:type="dxa"/>
            <w:tcBorders>
              <w:top w:val="single" w:color="auto" w:sz="4" w:space="0"/>
              <w:right w:val="single" w:color="auto" w:sz="4" w:space="0"/>
            </w:tcBorders>
            <w:shd w:val="clear" w:color="auto" w:fill="DBE5F1"/>
            <w:vAlign w:val="center"/>
          </w:tcPr>
          <w:p w14:paraId="2F4030E0">
            <w:pPr>
              <w:pStyle w:val="106"/>
              <w:spacing w:line="240" w:lineRule="auto"/>
              <w:rPr>
                <w:rFonts w:ascii="宋体" w:hAnsi="宋体" w:eastAsia="宋体"/>
                <w:b/>
                <w:bCs/>
                <w:sz w:val="21"/>
                <w:szCs w:val="21"/>
              </w:rPr>
            </w:pPr>
            <w:r>
              <w:rPr>
                <w:rFonts w:hint="eastAsia" w:ascii="宋体" w:hAnsi="宋体" w:eastAsia="宋体"/>
                <w:b/>
                <w:bCs/>
                <w:sz w:val="21"/>
                <w:szCs w:val="21"/>
              </w:rPr>
              <w:t>先进水平</w:t>
            </w:r>
          </w:p>
        </w:tc>
      </w:tr>
      <w:tr w14:paraId="6115DD0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tcBorders>
            <w:vAlign w:val="center"/>
          </w:tcPr>
          <w:p w14:paraId="6A810C6E">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1</w:t>
            </w:r>
          </w:p>
        </w:tc>
        <w:tc>
          <w:tcPr>
            <w:tcW w:w="3179" w:type="dxa"/>
            <w:vAlign w:val="center"/>
          </w:tcPr>
          <w:p w14:paraId="6911A30A">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电缆高压试验设备</w:t>
            </w:r>
          </w:p>
        </w:tc>
        <w:tc>
          <w:tcPr>
            <w:tcW w:w="3487" w:type="dxa"/>
            <w:vAlign w:val="center"/>
          </w:tcPr>
          <w:p w14:paraId="0D3EE883">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电缆耐压试验</w:t>
            </w:r>
          </w:p>
        </w:tc>
        <w:tc>
          <w:tcPr>
            <w:tcW w:w="1582" w:type="dxa"/>
            <w:tcBorders>
              <w:right w:val="single" w:color="auto" w:sz="4" w:space="0"/>
            </w:tcBorders>
            <w:vAlign w:val="center"/>
          </w:tcPr>
          <w:p w14:paraId="537241AF">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01FB33E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tcBorders>
            <w:vAlign w:val="center"/>
          </w:tcPr>
          <w:p w14:paraId="7AF1CB95">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2</w:t>
            </w:r>
          </w:p>
        </w:tc>
        <w:tc>
          <w:tcPr>
            <w:tcW w:w="3179" w:type="dxa"/>
            <w:vAlign w:val="center"/>
          </w:tcPr>
          <w:p w14:paraId="0C3FE84B">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color w:val="000000"/>
                <w:kern w:val="0"/>
                <w:sz w:val="21"/>
                <w:szCs w:val="21"/>
                <w:lang w:bidi="ar"/>
              </w:rPr>
              <w:t>高压试验装置</w:t>
            </w:r>
          </w:p>
        </w:tc>
        <w:tc>
          <w:tcPr>
            <w:tcW w:w="3487" w:type="dxa"/>
            <w:vAlign w:val="center"/>
          </w:tcPr>
          <w:p w14:paraId="45793024">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snapToGrid w:val="0"/>
                <w:sz w:val="21"/>
                <w:szCs w:val="21"/>
              </w:rPr>
              <w:t>电缆耐压试验</w:t>
            </w:r>
          </w:p>
        </w:tc>
        <w:tc>
          <w:tcPr>
            <w:tcW w:w="1582" w:type="dxa"/>
            <w:tcBorders>
              <w:right w:val="single" w:color="auto" w:sz="4" w:space="0"/>
            </w:tcBorders>
            <w:vAlign w:val="center"/>
          </w:tcPr>
          <w:p w14:paraId="44F3E1CD">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082A72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tcBorders>
            <w:vAlign w:val="center"/>
          </w:tcPr>
          <w:p w14:paraId="7986FFEC">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3</w:t>
            </w:r>
          </w:p>
        </w:tc>
        <w:tc>
          <w:tcPr>
            <w:tcW w:w="3179" w:type="dxa"/>
            <w:vAlign w:val="center"/>
          </w:tcPr>
          <w:p w14:paraId="17EAA270">
            <w:pPr>
              <w:adjustRightInd w:val="0"/>
              <w:snapToGrid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电子拉力机</w:t>
            </w:r>
          </w:p>
        </w:tc>
        <w:tc>
          <w:tcPr>
            <w:tcW w:w="3487" w:type="dxa"/>
            <w:vAlign w:val="center"/>
          </w:tcPr>
          <w:p w14:paraId="4AAFE2E1">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电缆绝缘，护套老化前后拉力试验</w:t>
            </w:r>
          </w:p>
        </w:tc>
        <w:tc>
          <w:tcPr>
            <w:tcW w:w="1582" w:type="dxa"/>
            <w:tcBorders>
              <w:right w:val="single" w:color="auto" w:sz="4" w:space="0"/>
            </w:tcBorders>
            <w:vAlign w:val="center"/>
          </w:tcPr>
          <w:p w14:paraId="49A418A8">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250F1AE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tcBorders>
            <w:vAlign w:val="center"/>
          </w:tcPr>
          <w:p w14:paraId="77B09D0A">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4</w:t>
            </w:r>
          </w:p>
        </w:tc>
        <w:tc>
          <w:tcPr>
            <w:tcW w:w="3179" w:type="dxa"/>
            <w:vAlign w:val="center"/>
          </w:tcPr>
          <w:p w14:paraId="739896AC">
            <w:pPr>
              <w:adjustRightInd w:val="0"/>
              <w:snapToGrid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热延伸试验装置</w:t>
            </w:r>
          </w:p>
        </w:tc>
        <w:tc>
          <w:tcPr>
            <w:tcW w:w="3487" w:type="dxa"/>
            <w:vAlign w:val="center"/>
          </w:tcPr>
          <w:p w14:paraId="4683D31A">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热延伸试验</w:t>
            </w:r>
          </w:p>
        </w:tc>
        <w:tc>
          <w:tcPr>
            <w:tcW w:w="1582" w:type="dxa"/>
            <w:tcBorders>
              <w:right w:val="single" w:color="auto" w:sz="4" w:space="0"/>
            </w:tcBorders>
            <w:vAlign w:val="center"/>
          </w:tcPr>
          <w:p w14:paraId="334A6818">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s="宋体"/>
                <w:color w:val="000000"/>
                <w:kern w:val="0"/>
                <w:sz w:val="21"/>
                <w:szCs w:val="21"/>
                <w:lang w:val="en-US" w:eastAsia="zh-CN" w:bidi="ar"/>
              </w:rPr>
              <w:t>2</w:t>
            </w:r>
          </w:p>
        </w:tc>
      </w:tr>
      <w:tr w14:paraId="35823D5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tcBorders>
            <w:vAlign w:val="center"/>
          </w:tcPr>
          <w:p w14:paraId="0CF62B1A">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5</w:t>
            </w:r>
          </w:p>
        </w:tc>
        <w:tc>
          <w:tcPr>
            <w:tcW w:w="3179" w:type="dxa"/>
            <w:vAlign w:val="center"/>
          </w:tcPr>
          <w:p w14:paraId="2A8A299B">
            <w:pPr>
              <w:adjustRightInd w:val="0"/>
              <w:snapToGrid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冲片机</w:t>
            </w:r>
          </w:p>
        </w:tc>
        <w:tc>
          <w:tcPr>
            <w:tcW w:w="3487" w:type="dxa"/>
            <w:vAlign w:val="center"/>
          </w:tcPr>
          <w:p w14:paraId="5FF136CD">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绝缘哑铃试片冲片</w:t>
            </w:r>
          </w:p>
        </w:tc>
        <w:tc>
          <w:tcPr>
            <w:tcW w:w="1582" w:type="dxa"/>
            <w:tcBorders>
              <w:right w:val="single" w:color="auto" w:sz="4" w:space="0"/>
            </w:tcBorders>
            <w:vAlign w:val="center"/>
          </w:tcPr>
          <w:p w14:paraId="29352D4D">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5E86F2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tcBorders>
            <w:vAlign w:val="center"/>
          </w:tcPr>
          <w:p w14:paraId="60180633">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6</w:t>
            </w:r>
          </w:p>
        </w:tc>
        <w:tc>
          <w:tcPr>
            <w:tcW w:w="3179" w:type="dxa"/>
            <w:vAlign w:val="center"/>
          </w:tcPr>
          <w:p w14:paraId="06F303A7">
            <w:pPr>
              <w:adjustRightInd w:val="0"/>
              <w:snapToGrid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高绝缘电阻测试仪</w:t>
            </w:r>
          </w:p>
        </w:tc>
        <w:tc>
          <w:tcPr>
            <w:tcW w:w="3487" w:type="dxa"/>
            <w:vAlign w:val="center"/>
          </w:tcPr>
          <w:p w14:paraId="7D551BAA">
            <w:pPr>
              <w:widowControl/>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电阻</w:t>
            </w:r>
          </w:p>
        </w:tc>
        <w:tc>
          <w:tcPr>
            <w:tcW w:w="1582" w:type="dxa"/>
            <w:tcBorders>
              <w:right w:val="single" w:color="auto" w:sz="4" w:space="0"/>
            </w:tcBorders>
            <w:vAlign w:val="center"/>
          </w:tcPr>
          <w:p w14:paraId="619B24C4">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5F2AF2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8" w:type="dxa"/>
            <w:tcBorders>
              <w:left w:val="single" w:color="auto" w:sz="4" w:space="0"/>
              <w:bottom w:val="single" w:color="auto" w:sz="4" w:space="0"/>
            </w:tcBorders>
            <w:vAlign w:val="center"/>
          </w:tcPr>
          <w:p w14:paraId="1F161A26">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8</w:t>
            </w:r>
          </w:p>
        </w:tc>
        <w:tc>
          <w:tcPr>
            <w:tcW w:w="3179" w:type="dxa"/>
            <w:tcBorders>
              <w:bottom w:val="single" w:color="auto" w:sz="4" w:space="0"/>
            </w:tcBorders>
            <w:vAlign w:val="center"/>
          </w:tcPr>
          <w:p w14:paraId="27E40A21">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高温老化试验箱</w:t>
            </w:r>
          </w:p>
        </w:tc>
        <w:tc>
          <w:tcPr>
            <w:tcW w:w="3487" w:type="dxa"/>
            <w:tcBorders>
              <w:bottom w:val="single" w:color="auto" w:sz="4" w:space="0"/>
            </w:tcBorders>
            <w:vAlign w:val="center"/>
          </w:tcPr>
          <w:p w14:paraId="598B7983">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热延伸试验，热收缩试验</w:t>
            </w:r>
          </w:p>
        </w:tc>
        <w:tc>
          <w:tcPr>
            <w:tcW w:w="1582" w:type="dxa"/>
            <w:tcBorders>
              <w:bottom w:val="single" w:color="auto" w:sz="4" w:space="0"/>
              <w:right w:val="single" w:color="auto" w:sz="4" w:space="0"/>
            </w:tcBorders>
            <w:vAlign w:val="center"/>
          </w:tcPr>
          <w:p w14:paraId="0B659200">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3705BEB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3DE45A4B">
            <w:pPr>
              <w:adjustRightInd w:val="0"/>
              <w:snapToGrid w:val="0"/>
              <w:jc w:val="center"/>
              <w:rPr>
                <w:rFonts w:hint="eastAsia" w:ascii="宋体" w:hAnsi="宋体" w:eastAsia="宋体" w:cs="宋体"/>
                <w:snapToGrid w:val="0"/>
                <w:kern w:val="2"/>
                <w:sz w:val="21"/>
                <w:szCs w:val="21"/>
                <w:lang w:val="en-US" w:eastAsia="zh-CN" w:bidi="ar-SA"/>
              </w:rPr>
            </w:pPr>
            <w:bookmarkStart w:id="32" w:name="_Toc451594570"/>
            <w:r>
              <w:rPr>
                <w:rFonts w:hint="eastAsia" w:ascii="宋体" w:hAnsi="宋体" w:eastAsia="宋体" w:cs="宋体"/>
                <w:snapToGrid w:val="0"/>
                <w:sz w:val="21"/>
                <w:szCs w:val="21"/>
              </w:rPr>
              <w:t>9</w:t>
            </w:r>
          </w:p>
        </w:tc>
        <w:tc>
          <w:tcPr>
            <w:tcW w:w="0" w:type="auto"/>
            <w:vAlign w:val="center"/>
          </w:tcPr>
          <w:p w14:paraId="027DBAD3">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直流电阻测试仪</w:t>
            </w:r>
          </w:p>
        </w:tc>
        <w:tc>
          <w:tcPr>
            <w:tcW w:w="0" w:type="auto"/>
            <w:vAlign w:val="center"/>
          </w:tcPr>
          <w:p w14:paraId="7A079660">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绝缘电阻测试</w:t>
            </w:r>
          </w:p>
        </w:tc>
        <w:tc>
          <w:tcPr>
            <w:tcW w:w="0" w:type="auto"/>
            <w:vAlign w:val="center"/>
          </w:tcPr>
          <w:p w14:paraId="6CB6B803">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r w14:paraId="78C4AB6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vAlign w:val="center"/>
          </w:tcPr>
          <w:p w14:paraId="6DBFDDA6">
            <w:pPr>
              <w:adjustRightInd w:val="0"/>
              <w:snapToGrid w:val="0"/>
              <w:jc w:val="center"/>
              <w:rPr>
                <w:rFonts w:hint="eastAsia" w:ascii="宋体" w:hAnsi="宋体" w:eastAsia="宋体" w:cs="宋体"/>
                <w:snapToGrid w:val="0"/>
                <w:kern w:val="2"/>
                <w:sz w:val="21"/>
                <w:szCs w:val="21"/>
                <w:lang w:val="en-US" w:eastAsia="zh-CN" w:bidi="ar-SA"/>
              </w:rPr>
            </w:pPr>
            <w:r>
              <w:rPr>
                <w:rFonts w:hint="eastAsia" w:ascii="宋体" w:hAnsi="宋体" w:eastAsia="宋体" w:cs="宋体"/>
                <w:snapToGrid w:val="0"/>
                <w:sz w:val="21"/>
                <w:szCs w:val="21"/>
              </w:rPr>
              <w:t>10</w:t>
            </w:r>
          </w:p>
        </w:tc>
        <w:tc>
          <w:tcPr>
            <w:tcW w:w="0" w:type="auto"/>
            <w:vAlign w:val="center"/>
          </w:tcPr>
          <w:p w14:paraId="1ADB9C60">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电缆截面投影仪</w:t>
            </w:r>
          </w:p>
        </w:tc>
        <w:tc>
          <w:tcPr>
            <w:tcW w:w="0" w:type="auto"/>
            <w:vAlign w:val="center"/>
          </w:tcPr>
          <w:p w14:paraId="60A2FCC9">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绝缘，护套厚度测量</w:t>
            </w:r>
          </w:p>
        </w:tc>
        <w:tc>
          <w:tcPr>
            <w:tcW w:w="0" w:type="auto"/>
            <w:vAlign w:val="center"/>
          </w:tcPr>
          <w:p w14:paraId="503F9B2A">
            <w:pPr>
              <w:widowControl/>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1</w:t>
            </w:r>
          </w:p>
        </w:tc>
      </w:tr>
    </w:tbl>
    <w:p w14:paraId="5A829C73">
      <w:pPr>
        <w:spacing w:line="360" w:lineRule="auto"/>
        <w:rPr>
          <w:rFonts w:hint="eastAsia" w:cs="仿宋_GB2312" w:asciiTheme="minorEastAsia" w:hAnsiTheme="minorEastAsia" w:eastAsiaTheme="minorEastAsia"/>
          <w:b/>
          <w:color w:val="000000" w:themeColor="text1"/>
          <w:sz w:val="24"/>
        </w:rPr>
        <w:sectPr>
          <w:pgSz w:w="11906" w:h="16838"/>
          <w:pgMar w:top="1440" w:right="1406" w:bottom="1440" w:left="146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EE71BAA">
      <w:pPr>
        <w:spacing w:line="360" w:lineRule="auto"/>
        <w:outlineLvl w:val="0"/>
        <w:rPr>
          <w:rFonts w:cs="仿宋_GB2312" w:asciiTheme="minorEastAsia" w:hAnsiTheme="minorEastAsia" w:eastAsiaTheme="minorEastAsia"/>
          <w:b/>
          <w:color w:val="000000" w:themeColor="text1"/>
          <w:sz w:val="24"/>
        </w:rPr>
      </w:pPr>
      <w:bookmarkStart w:id="33" w:name="_Toc6573"/>
      <w:r>
        <w:rPr>
          <w:rFonts w:hint="eastAsia" w:cs="仿宋_GB2312" w:asciiTheme="minorEastAsia" w:hAnsiTheme="minorEastAsia" w:eastAsiaTheme="minorEastAsia"/>
          <w:b/>
          <w:color w:val="000000" w:themeColor="text1"/>
          <w:sz w:val="24"/>
        </w:rPr>
        <w:t>六、产品质量责任</w:t>
      </w:r>
      <w:bookmarkEnd w:id="32"/>
      <w:bookmarkEnd w:id="33"/>
    </w:p>
    <w:p w14:paraId="170AFBC3">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34" w:name="_Toc19692"/>
      <w:r>
        <w:rPr>
          <w:rFonts w:hint="eastAsia" w:cs="仿宋_GB2312" w:asciiTheme="minorEastAsia" w:hAnsiTheme="minorEastAsia" w:eastAsiaTheme="minorEastAsia"/>
          <w:b/>
          <w:bCs/>
          <w:color w:val="000000" w:themeColor="text1"/>
          <w:sz w:val="24"/>
        </w:rPr>
        <w:t>（一）产品质量水平</w:t>
      </w:r>
      <w:bookmarkEnd w:id="34"/>
    </w:p>
    <w:p w14:paraId="55B43B78">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本公司持续改善产品技术水平和质量性能，目前已被顾客和行业的认可。</w:t>
      </w:r>
    </w:p>
    <w:p w14:paraId="5B28E6C7">
      <w:pPr>
        <w:spacing w:line="312" w:lineRule="auto"/>
        <w:ind w:firstLine="420" w:firstLineChars="200"/>
        <w:rPr>
          <w:rFonts w:ascii="宋体" w:hAnsi="宋体"/>
          <w:szCs w:val="21"/>
        </w:rPr>
      </w:pPr>
      <w:r>
        <w:rPr>
          <w:rFonts w:hint="eastAsia" w:cs="仿宋_GB2312" w:asciiTheme="minorEastAsia" w:hAnsiTheme="minorEastAsia" w:eastAsiaTheme="minorEastAsia"/>
          <w:color w:val="000000" w:themeColor="text1"/>
          <w:szCs w:val="21"/>
        </w:rPr>
        <w:t>公司主导产品</w:t>
      </w:r>
      <w:r>
        <w:rPr>
          <w:rFonts w:hint="eastAsia" w:cs="仿宋_GB2312" w:asciiTheme="minorEastAsia" w:hAnsiTheme="minorEastAsia" w:eastAsiaTheme="minorEastAsia"/>
          <w:color w:val="000000" w:themeColor="text1"/>
          <w:szCs w:val="21"/>
          <w:lang w:val="en-US" w:eastAsia="zh-CN"/>
        </w:rPr>
        <w:t>有中低压电力电缆、交联耐火电缆、控制电缆、架空电缆、橡套电缆、低烟无卤电缆、分支电缆、电线、铝绞线、钢芯铝绞线等</w:t>
      </w:r>
      <w:r>
        <w:rPr>
          <w:rFonts w:hint="eastAsia" w:cs="仿宋_GB2312" w:asciiTheme="minorEastAsia" w:hAnsiTheme="minorEastAsia" w:eastAsiaTheme="minorEastAsia"/>
          <w:color w:val="000000" w:themeColor="text1"/>
          <w:szCs w:val="21"/>
        </w:rPr>
        <w:t>，</w:t>
      </w:r>
      <w:r>
        <w:rPr>
          <w:rFonts w:hint="eastAsia" w:ascii="宋体" w:hAnsi="宋体"/>
          <w:szCs w:val="21"/>
        </w:rPr>
        <w:t>各项关键质量控制指标达到国家或行业标准。</w:t>
      </w:r>
    </w:p>
    <w:p w14:paraId="54957425">
      <w:pPr>
        <w:spacing w:line="312" w:lineRule="auto"/>
        <w:ind w:firstLine="422" w:firstLineChars="200"/>
        <w:jc w:val="center"/>
        <w:rPr>
          <w:rFonts w:hint="eastAsia" w:ascii="宋体" w:hAnsi="宋体"/>
          <w:b/>
          <w:bCs/>
          <w:szCs w:val="21"/>
        </w:rPr>
      </w:pPr>
      <w:r>
        <w:rPr>
          <w:rFonts w:hint="eastAsia" w:ascii="宋体" w:hAnsi="宋体"/>
          <w:b/>
          <w:bCs/>
          <w:szCs w:val="21"/>
        </w:rPr>
        <w:t>图表</w:t>
      </w:r>
      <w:r>
        <w:rPr>
          <w:rFonts w:hint="eastAsia" w:ascii="宋体" w:hAnsi="宋体"/>
          <w:b/>
          <w:bCs/>
          <w:szCs w:val="21"/>
          <w:lang w:val="en-US" w:eastAsia="zh-CN"/>
        </w:rPr>
        <w:t>7</w:t>
      </w:r>
      <w:r>
        <w:rPr>
          <w:rFonts w:hint="eastAsia" w:ascii="宋体" w:hAnsi="宋体"/>
          <w:b/>
          <w:bCs/>
          <w:szCs w:val="21"/>
        </w:rPr>
        <w:t xml:space="preserve"> 公司主导产品质量水平</w:t>
      </w:r>
    </w:p>
    <w:tbl>
      <w:tblPr>
        <w:tblStyle w:val="23"/>
        <w:tblW w:w="855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816"/>
        <w:gridCol w:w="2354"/>
        <w:gridCol w:w="2384"/>
        <w:gridCol w:w="1997"/>
      </w:tblGrid>
      <w:tr w14:paraId="3CFB43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shd w:val="clear" w:color="auto" w:fill="DEEBF6"/>
            <w:noWrap w:val="0"/>
            <w:vAlign w:val="center"/>
          </w:tcPr>
          <w:p w14:paraId="79805F61">
            <w:pPr>
              <w:widowControl/>
              <w:jc w:val="center"/>
              <w:rPr>
                <w:b/>
                <w:kern w:val="0"/>
              </w:rPr>
            </w:pPr>
            <w:r>
              <w:rPr>
                <w:rFonts w:hAnsi="宋体"/>
                <w:b/>
                <w:kern w:val="0"/>
                <w:szCs w:val="21"/>
              </w:rPr>
              <w:t>产品名称</w:t>
            </w:r>
          </w:p>
        </w:tc>
        <w:tc>
          <w:tcPr>
            <w:tcW w:w="4738" w:type="dxa"/>
            <w:gridSpan w:val="2"/>
            <w:tcBorders>
              <w:bottom w:val="single" w:color="auto" w:sz="6" w:space="0"/>
            </w:tcBorders>
            <w:shd w:val="clear" w:color="auto" w:fill="DEEBF6"/>
            <w:noWrap w:val="0"/>
            <w:vAlign w:val="center"/>
          </w:tcPr>
          <w:p w14:paraId="2A3FEDA7">
            <w:pPr>
              <w:widowControl/>
              <w:jc w:val="center"/>
              <w:rPr>
                <w:b/>
                <w:kern w:val="0"/>
              </w:rPr>
            </w:pPr>
            <w:r>
              <w:rPr>
                <w:rFonts w:hAnsi="宋体"/>
                <w:b/>
                <w:kern w:val="0"/>
                <w:szCs w:val="21"/>
              </w:rPr>
              <w:t>主要质量控制指标比较</w:t>
            </w:r>
          </w:p>
        </w:tc>
        <w:tc>
          <w:tcPr>
            <w:tcW w:w="1997" w:type="dxa"/>
            <w:vMerge w:val="restart"/>
            <w:shd w:val="clear" w:color="auto" w:fill="DEEBF6"/>
            <w:noWrap w:val="0"/>
            <w:vAlign w:val="center"/>
          </w:tcPr>
          <w:p w14:paraId="30B0D920">
            <w:pPr>
              <w:widowControl/>
              <w:jc w:val="center"/>
              <w:rPr>
                <w:b/>
                <w:kern w:val="0"/>
              </w:rPr>
            </w:pPr>
            <w:r>
              <w:rPr>
                <w:rFonts w:hint="eastAsia" w:hAnsi="宋体"/>
                <w:b/>
                <w:kern w:val="0"/>
                <w:szCs w:val="21"/>
              </w:rPr>
              <w:t>公司</w:t>
            </w:r>
            <w:r>
              <w:rPr>
                <w:rFonts w:hAnsi="宋体"/>
                <w:b/>
                <w:kern w:val="0"/>
                <w:szCs w:val="21"/>
              </w:rPr>
              <w:t>技术指标</w:t>
            </w:r>
          </w:p>
        </w:tc>
      </w:tr>
      <w:tr w14:paraId="11397E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tcBorders>
              <w:bottom w:val="single" w:color="auto" w:sz="6" w:space="0"/>
            </w:tcBorders>
            <w:shd w:val="clear" w:color="auto" w:fill="DEEBF6"/>
            <w:noWrap w:val="0"/>
            <w:vAlign w:val="center"/>
          </w:tcPr>
          <w:p w14:paraId="7699BC2A">
            <w:pPr>
              <w:widowControl/>
              <w:rPr>
                <w:b/>
                <w:kern w:val="0"/>
              </w:rPr>
            </w:pPr>
          </w:p>
        </w:tc>
        <w:tc>
          <w:tcPr>
            <w:tcW w:w="2354" w:type="dxa"/>
            <w:tcBorders>
              <w:top w:val="single" w:color="auto" w:sz="6" w:space="0"/>
              <w:bottom w:val="single" w:color="auto" w:sz="6" w:space="0"/>
            </w:tcBorders>
            <w:shd w:val="clear" w:color="auto" w:fill="DEEBF6"/>
            <w:noWrap w:val="0"/>
            <w:vAlign w:val="center"/>
          </w:tcPr>
          <w:p w14:paraId="7766BB68">
            <w:pPr>
              <w:widowControl/>
              <w:spacing w:before="100" w:beforeAutospacing="1" w:after="100" w:afterAutospacing="1" w:line="0" w:lineRule="atLeast"/>
              <w:jc w:val="center"/>
              <w:rPr>
                <w:b/>
                <w:kern w:val="0"/>
              </w:rPr>
            </w:pPr>
            <w:r>
              <w:rPr>
                <w:rFonts w:hAnsi="宋体"/>
                <w:b/>
                <w:kern w:val="0"/>
                <w:szCs w:val="21"/>
              </w:rPr>
              <w:t>指标名称</w:t>
            </w:r>
          </w:p>
        </w:tc>
        <w:tc>
          <w:tcPr>
            <w:tcW w:w="2384" w:type="dxa"/>
            <w:tcBorders>
              <w:top w:val="single" w:color="auto" w:sz="6" w:space="0"/>
              <w:bottom w:val="single" w:color="auto" w:sz="6" w:space="0"/>
            </w:tcBorders>
            <w:shd w:val="clear" w:color="auto" w:fill="DEEBF6"/>
            <w:noWrap w:val="0"/>
            <w:vAlign w:val="center"/>
          </w:tcPr>
          <w:p w14:paraId="326797CD">
            <w:pPr>
              <w:widowControl/>
              <w:spacing w:before="100" w:beforeAutospacing="1" w:after="100" w:afterAutospacing="1" w:line="0" w:lineRule="atLeast"/>
              <w:jc w:val="center"/>
              <w:rPr>
                <w:b/>
                <w:kern w:val="0"/>
              </w:rPr>
            </w:pPr>
            <w:r>
              <w:rPr>
                <w:rFonts w:hAnsi="宋体"/>
                <w:b/>
                <w:kern w:val="0"/>
                <w:szCs w:val="21"/>
              </w:rPr>
              <w:t>国内行业水平</w:t>
            </w:r>
          </w:p>
        </w:tc>
        <w:tc>
          <w:tcPr>
            <w:tcW w:w="1997" w:type="dxa"/>
            <w:vMerge w:val="continue"/>
            <w:tcBorders>
              <w:bottom w:val="single" w:color="auto" w:sz="6" w:space="0"/>
            </w:tcBorders>
            <w:shd w:val="clear" w:color="auto" w:fill="DBDBDB"/>
            <w:noWrap w:val="0"/>
            <w:vAlign w:val="center"/>
          </w:tcPr>
          <w:p w14:paraId="0E01EF89">
            <w:pPr>
              <w:widowControl/>
              <w:jc w:val="center"/>
              <w:rPr>
                <w:b/>
                <w:kern w:val="0"/>
              </w:rPr>
            </w:pPr>
          </w:p>
        </w:tc>
      </w:tr>
      <w:tr w14:paraId="758BBC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tcBorders>
              <w:top w:val="single" w:color="auto" w:sz="6" w:space="0"/>
            </w:tcBorders>
            <w:noWrap w:val="0"/>
            <w:vAlign w:val="center"/>
          </w:tcPr>
          <w:p w14:paraId="42F187B6">
            <w:pPr>
              <w:jc w:val="center"/>
              <w:rPr>
                <w:kern w:val="0"/>
                <w:szCs w:val="21"/>
                <w:highlight w:val="yellow"/>
              </w:rPr>
            </w:pPr>
            <w:r>
              <w:rPr>
                <w:rFonts w:hint="eastAsia"/>
                <w:kern w:val="0"/>
                <w:szCs w:val="21"/>
                <w:highlight w:val="none"/>
              </w:rPr>
              <w:t xml:space="preserve"> </w:t>
            </w:r>
            <w:r>
              <w:rPr>
                <w:rFonts w:hint="eastAsia" w:ascii="华文中宋" w:hAnsi="华文中宋" w:eastAsia="华文中宋" w:cs="华文中宋"/>
                <w:sz w:val="20"/>
                <w:szCs w:val="20"/>
                <w:highlight w:val="none"/>
              </w:rPr>
              <w:t>YJV3*240+1*120（低压0.6</w:t>
            </w:r>
            <w:r>
              <w:rPr>
                <w:rFonts w:hint="eastAsia" w:ascii="华文中宋" w:hAnsi="华文中宋" w:eastAsia="华文中宋" w:cs="华文中宋"/>
                <w:sz w:val="20"/>
                <w:szCs w:val="20"/>
                <w:highlight w:val="none"/>
                <w:lang w:val="en-US" w:eastAsia="zh-CN"/>
              </w:rPr>
              <w:t>/</w:t>
            </w:r>
            <w:r>
              <w:rPr>
                <w:rFonts w:hint="eastAsia" w:ascii="华文中宋" w:hAnsi="华文中宋" w:eastAsia="华文中宋" w:cs="华文中宋"/>
                <w:sz w:val="20"/>
                <w:szCs w:val="20"/>
                <w:highlight w:val="none"/>
              </w:rPr>
              <w:t>1kV</w:t>
            </w:r>
            <w:r>
              <w:rPr>
                <w:rFonts w:hint="eastAsia" w:ascii="华文中宋" w:hAnsi="华文中宋" w:eastAsia="华文中宋" w:cs="华文中宋"/>
                <w:sz w:val="20"/>
                <w:szCs w:val="20"/>
                <w:highlight w:val="none"/>
                <w:lang w:val="en-US" w:eastAsia="zh-CN"/>
              </w:rPr>
              <w:t>)</w:t>
            </w:r>
          </w:p>
        </w:tc>
        <w:tc>
          <w:tcPr>
            <w:tcW w:w="2354" w:type="dxa"/>
            <w:noWrap w:val="0"/>
            <w:vAlign w:val="center"/>
          </w:tcPr>
          <w:p w14:paraId="5B807495">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3158D027">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≦0.0754Ω/㎞</w:t>
            </w:r>
          </w:p>
        </w:tc>
        <w:tc>
          <w:tcPr>
            <w:tcW w:w="1997" w:type="dxa"/>
            <w:noWrap w:val="0"/>
            <w:vAlign w:val="center"/>
          </w:tcPr>
          <w:p w14:paraId="115FE4BF">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≦0.0754Ω/㎞</w:t>
            </w:r>
          </w:p>
        </w:tc>
      </w:tr>
      <w:tr w14:paraId="11CC3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97" w:hRule="atLeast"/>
          <w:jc w:val="center"/>
        </w:trPr>
        <w:tc>
          <w:tcPr>
            <w:tcW w:w="1816" w:type="dxa"/>
            <w:vMerge w:val="continue"/>
            <w:noWrap w:val="0"/>
            <w:vAlign w:val="center"/>
          </w:tcPr>
          <w:p w14:paraId="2D49A133">
            <w:pPr>
              <w:jc w:val="center"/>
              <w:rPr>
                <w:kern w:val="0"/>
                <w:szCs w:val="21"/>
                <w:highlight w:val="yellow"/>
              </w:rPr>
            </w:pPr>
          </w:p>
        </w:tc>
        <w:tc>
          <w:tcPr>
            <w:tcW w:w="2354" w:type="dxa"/>
            <w:noWrap w:val="0"/>
            <w:vAlign w:val="center"/>
          </w:tcPr>
          <w:p w14:paraId="7757ADDC">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412E5311">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≥1.7mm</w:t>
            </w:r>
          </w:p>
        </w:tc>
        <w:tc>
          <w:tcPr>
            <w:tcW w:w="1997" w:type="dxa"/>
            <w:noWrap w:val="0"/>
            <w:vAlign w:val="center"/>
          </w:tcPr>
          <w:p w14:paraId="1F9DC43E">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≥1.7</w:t>
            </w:r>
          </w:p>
        </w:tc>
      </w:tr>
      <w:tr w14:paraId="496B4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center"/>
          </w:tcPr>
          <w:p w14:paraId="33466D37">
            <w:pPr>
              <w:widowControl/>
              <w:jc w:val="center"/>
              <w:rPr>
                <w:color w:val="FF0000"/>
                <w:kern w:val="0"/>
                <w:szCs w:val="21"/>
                <w:highlight w:val="yellow"/>
              </w:rPr>
            </w:pPr>
          </w:p>
        </w:tc>
        <w:tc>
          <w:tcPr>
            <w:tcW w:w="2354" w:type="dxa"/>
            <w:noWrap w:val="0"/>
            <w:vAlign w:val="center"/>
          </w:tcPr>
          <w:p w14:paraId="761D24DD">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p>
        </w:tc>
        <w:tc>
          <w:tcPr>
            <w:tcW w:w="2384" w:type="dxa"/>
            <w:noWrap w:val="0"/>
            <w:vAlign w:val="center"/>
          </w:tcPr>
          <w:p w14:paraId="1647ABB7">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3.5kV5min</w:t>
            </w:r>
          </w:p>
        </w:tc>
        <w:tc>
          <w:tcPr>
            <w:tcW w:w="1997" w:type="dxa"/>
            <w:noWrap w:val="0"/>
            <w:vAlign w:val="center"/>
          </w:tcPr>
          <w:p w14:paraId="4515D5D8">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3.5kV5min</w:t>
            </w:r>
            <w:r>
              <w:rPr>
                <w:rFonts w:hint="eastAsia" w:ascii="华文中宋" w:hAnsi="华文中宋" w:eastAsia="华文中宋" w:cs="华文中宋"/>
                <w:sz w:val="20"/>
                <w:szCs w:val="20"/>
                <w:lang w:eastAsia="zh-CN"/>
              </w:rPr>
              <w:t>不击穿</w:t>
            </w:r>
          </w:p>
        </w:tc>
      </w:tr>
      <w:tr w14:paraId="46F757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0E2A34D2">
            <w:pPr>
              <w:jc w:val="center"/>
              <w:rPr>
                <w:rFonts w:hint="eastAsia"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YJV22 3*50</w:t>
            </w:r>
          </w:p>
          <w:p w14:paraId="4E948F5B">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(中压8.7/10kV)</w:t>
            </w:r>
          </w:p>
        </w:tc>
        <w:tc>
          <w:tcPr>
            <w:tcW w:w="2354" w:type="dxa"/>
            <w:noWrap w:val="0"/>
            <w:vAlign w:val="center"/>
          </w:tcPr>
          <w:p w14:paraId="78D9A767">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6700DAEF">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0.387</w:t>
            </w:r>
            <w:r>
              <w:rPr>
                <w:rFonts w:hint="eastAsia" w:ascii="华文中宋" w:hAnsi="华文中宋" w:eastAsia="华文中宋" w:cs="华文中宋"/>
                <w:sz w:val="20"/>
                <w:szCs w:val="20"/>
              </w:rPr>
              <w:t>Ω/㎞</w:t>
            </w:r>
          </w:p>
        </w:tc>
        <w:tc>
          <w:tcPr>
            <w:tcW w:w="1997" w:type="dxa"/>
            <w:noWrap w:val="0"/>
            <w:vAlign w:val="center"/>
          </w:tcPr>
          <w:p w14:paraId="6AA387C5">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≦0</w:t>
            </w:r>
            <w:r>
              <w:rPr>
                <w:rFonts w:hint="eastAsia" w:ascii="华文中宋" w:hAnsi="华文中宋" w:eastAsia="华文中宋" w:cs="华文中宋"/>
                <w:sz w:val="20"/>
                <w:szCs w:val="20"/>
                <w:lang w:val="en-US" w:eastAsia="zh-CN"/>
              </w:rPr>
              <w:t>.387</w:t>
            </w:r>
            <w:r>
              <w:rPr>
                <w:rFonts w:hint="eastAsia" w:ascii="华文中宋" w:hAnsi="华文中宋" w:eastAsia="华文中宋" w:cs="华文中宋"/>
                <w:sz w:val="20"/>
                <w:szCs w:val="20"/>
              </w:rPr>
              <w:t>Ω/㎞</w:t>
            </w:r>
          </w:p>
        </w:tc>
      </w:tr>
      <w:tr w14:paraId="01F611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center"/>
          </w:tcPr>
          <w:p w14:paraId="5C8E9C6E">
            <w:pPr>
              <w:jc w:val="center"/>
              <w:rPr>
                <w:rFonts w:hint="eastAsia" w:ascii="华文中宋" w:hAnsi="华文中宋" w:eastAsia="华文中宋" w:cs="华文中宋"/>
                <w:sz w:val="20"/>
                <w:szCs w:val="20"/>
                <w:highlight w:val="none"/>
              </w:rPr>
            </w:pPr>
          </w:p>
        </w:tc>
        <w:tc>
          <w:tcPr>
            <w:tcW w:w="2354" w:type="dxa"/>
            <w:noWrap w:val="0"/>
            <w:vAlign w:val="center"/>
          </w:tcPr>
          <w:p w14:paraId="0B134F6D">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1858D207">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4.5</w:t>
            </w:r>
            <w:r>
              <w:rPr>
                <w:rFonts w:hint="eastAsia" w:ascii="华文中宋" w:hAnsi="华文中宋" w:eastAsia="华文中宋" w:cs="华文中宋"/>
                <w:sz w:val="20"/>
                <w:szCs w:val="20"/>
              </w:rPr>
              <w:t>mm</w:t>
            </w:r>
          </w:p>
        </w:tc>
        <w:tc>
          <w:tcPr>
            <w:tcW w:w="1997" w:type="dxa"/>
            <w:noWrap w:val="0"/>
            <w:vAlign w:val="center"/>
          </w:tcPr>
          <w:p w14:paraId="691D5B14">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4.5</w:t>
            </w:r>
          </w:p>
        </w:tc>
      </w:tr>
      <w:tr w14:paraId="5E75B7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center"/>
          </w:tcPr>
          <w:p w14:paraId="65E1854C">
            <w:pPr>
              <w:jc w:val="center"/>
              <w:rPr>
                <w:rFonts w:hint="eastAsia" w:ascii="华文中宋" w:hAnsi="华文中宋" w:eastAsia="华文中宋" w:cs="华文中宋"/>
                <w:sz w:val="20"/>
                <w:szCs w:val="20"/>
                <w:highlight w:val="none"/>
              </w:rPr>
            </w:pPr>
          </w:p>
        </w:tc>
        <w:tc>
          <w:tcPr>
            <w:tcW w:w="2354" w:type="dxa"/>
            <w:noWrap w:val="0"/>
            <w:vAlign w:val="center"/>
          </w:tcPr>
          <w:p w14:paraId="0C30E8D6">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p>
        </w:tc>
        <w:tc>
          <w:tcPr>
            <w:tcW w:w="2384" w:type="dxa"/>
            <w:noWrap w:val="0"/>
            <w:vAlign w:val="center"/>
          </w:tcPr>
          <w:p w14:paraId="5488591C">
            <w:pPr>
              <w:pStyle w:val="6"/>
              <w:spacing w:line="240" w:lineRule="auto"/>
              <w:ind w:firstLine="0" w:firstLineChars="0"/>
              <w:jc w:val="center"/>
              <w:rPr>
                <w:rFonts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3</w:t>
            </w:r>
            <w:r>
              <w:rPr>
                <w:rFonts w:hint="eastAsia" w:ascii="华文中宋" w:hAnsi="华文中宋" w:eastAsia="华文中宋" w:cs="华文中宋"/>
                <w:sz w:val="20"/>
                <w:szCs w:val="20"/>
                <w:lang w:val="en-US" w:eastAsia="zh-CN"/>
              </w:rPr>
              <w:t>0</w:t>
            </w:r>
            <w:r>
              <w:rPr>
                <w:rFonts w:hint="eastAsia" w:ascii="华文中宋" w:hAnsi="华文中宋" w:eastAsia="华文中宋" w:cs="华文中宋"/>
                <w:sz w:val="20"/>
                <w:szCs w:val="20"/>
              </w:rPr>
              <w:t>.5kV5min</w:t>
            </w:r>
          </w:p>
        </w:tc>
        <w:tc>
          <w:tcPr>
            <w:tcW w:w="1997" w:type="dxa"/>
            <w:noWrap w:val="0"/>
            <w:vAlign w:val="center"/>
          </w:tcPr>
          <w:p w14:paraId="27875C77">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3</w:t>
            </w:r>
            <w:r>
              <w:rPr>
                <w:rFonts w:hint="eastAsia" w:ascii="华文中宋" w:hAnsi="华文中宋" w:eastAsia="华文中宋" w:cs="华文中宋"/>
                <w:sz w:val="20"/>
                <w:szCs w:val="20"/>
                <w:lang w:val="en-US" w:eastAsia="zh-CN"/>
              </w:rPr>
              <w:t>0</w:t>
            </w:r>
            <w:r>
              <w:rPr>
                <w:rFonts w:hint="eastAsia" w:ascii="华文中宋" w:hAnsi="华文中宋" w:eastAsia="华文中宋" w:cs="华文中宋"/>
                <w:sz w:val="20"/>
                <w:szCs w:val="20"/>
              </w:rPr>
              <w:t>.5kV5min</w:t>
            </w:r>
            <w:r>
              <w:rPr>
                <w:rFonts w:hint="eastAsia" w:ascii="华文中宋" w:hAnsi="华文中宋" w:eastAsia="华文中宋" w:cs="华文中宋"/>
                <w:sz w:val="20"/>
                <w:szCs w:val="20"/>
                <w:lang w:eastAsia="zh-CN"/>
              </w:rPr>
              <w:t>不击穿</w:t>
            </w:r>
          </w:p>
        </w:tc>
      </w:tr>
      <w:tr w14:paraId="5D8F52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38BAD452">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KVV 3*1.5</w:t>
            </w:r>
          </w:p>
          <w:p w14:paraId="28D4F562">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(控缆450/750V)</w:t>
            </w:r>
          </w:p>
        </w:tc>
        <w:tc>
          <w:tcPr>
            <w:tcW w:w="2354" w:type="dxa"/>
            <w:noWrap w:val="0"/>
            <w:vAlign w:val="center"/>
          </w:tcPr>
          <w:p w14:paraId="5E02EE50">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08B64A04">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12.1</w:t>
            </w:r>
            <w:r>
              <w:rPr>
                <w:rFonts w:hint="eastAsia" w:ascii="华文中宋" w:hAnsi="华文中宋" w:eastAsia="华文中宋" w:cs="华文中宋"/>
                <w:sz w:val="20"/>
                <w:szCs w:val="20"/>
              </w:rPr>
              <w:t>Ω/㎞</w:t>
            </w:r>
          </w:p>
        </w:tc>
        <w:tc>
          <w:tcPr>
            <w:tcW w:w="1997" w:type="dxa"/>
            <w:noWrap w:val="0"/>
            <w:vAlign w:val="center"/>
          </w:tcPr>
          <w:p w14:paraId="077C32B0">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12.1</w:t>
            </w:r>
            <w:r>
              <w:rPr>
                <w:rFonts w:hint="eastAsia" w:ascii="华文中宋" w:hAnsi="华文中宋" w:eastAsia="华文中宋" w:cs="华文中宋"/>
                <w:sz w:val="20"/>
                <w:szCs w:val="20"/>
              </w:rPr>
              <w:t>Ω/㎞</w:t>
            </w:r>
          </w:p>
        </w:tc>
      </w:tr>
      <w:tr w14:paraId="0CFD58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7B0141E1">
            <w:pPr>
              <w:jc w:val="center"/>
              <w:rPr>
                <w:rFonts w:hint="eastAsia" w:ascii="华文中宋" w:hAnsi="华文中宋" w:eastAsia="华文中宋" w:cs="华文中宋"/>
                <w:sz w:val="20"/>
                <w:szCs w:val="20"/>
                <w:highlight w:val="none"/>
              </w:rPr>
            </w:pPr>
          </w:p>
        </w:tc>
        <w:tc>
          <w:tcPr>
            <w:tcW w:w="2354" w:type="dxa"/>
            <w:noWrap w:val="0"/>
            <w:vAlign w:val="center"/>
          </w:tcPr>
          <w:p w14:paraId="4690CB08">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7BD30E09">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0.7</w:t>
            </w:r>
            <w:r>
              <w:rPr>
                <w:rFonts w:hint="eastAsia" w:ascii="华文中宋" w:hAnsi="华文中宋" w:eastAsia="华文中宋" w:cs="华文中宋"/>
                <w:sz w:val="20"/>
                <w:szCs w:val="20"/>
              </w:rPr>
              <w:t>mm</w:t>
            </w:r>
          </w:p>
        </w:tc>
        <w:tc>
          <w:tcPr>
            <w:tcW w:w="1997" w:type="dxa"/>
            <w:noWrap w:val="0"/>
            <w:vAlign w:val="center"/>
          </w:tcPr>
          <w:p w14:paraId="690C44F9">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0.7</w:t>
            </w:r>
          </w:p>
        </w:tc>
      </w:tr>
      <w:tr w14:paraId="15A398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56DAC1F9">
            <w:pPr>
              <w:jc w:val="center"/>
              <w:rPr>
                <w:rFonts w:hint="eastAsia" w:ascii="华文中宋" w:hAnsi="华文中宋" w:eastAsia="华文中宋" w:cs="华文中宋"/>
                <w:sz w:val="20"/>
                <w:szCs w:val="20"/>
                <w:highlight w:val="none"/>
              </w:rPr>
            </w:pPr>
          </w:p>
        </w:tc>
        <w:tc>
          <w:tcPr>
            <w:tcW w:w="2354" w:type="dxa"/>
            <w:noWrap w:val="0"/>
            <w:vAlign w:val="center"/>
          </w:tcPr>
          <w:p w14:paraId="3E854978">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p>
        </w:tc>
        <w:tc>
          <w:tcPr>
            <w:tcW w:w="2384" w:type="dxa"/>
            <w:noWrap w:val="0"/>
            <w:vAlign w:val="center"/>
          </w:tcPr>
          <w:p w14:paraId="34C08D74">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3.0</w:t>
            </w:r>
            <w:r>
              <w:rPr>
                <w:rFonts w:hint="eastAsia" w:ascii="华文中宋" w:hAnsi="华文中宋" w:eastAsia="华文中宋" w:cs="华文中宋"/>
                <w:sz w:val="20"/>
                <w:szCs w:val="20"/>
              </w:rPr>
              <w:t>kV5min</w:t>
            </w:r>
          </w:p>
        </w:tc>
        <w:tc>
          <w:tcPr>
            <w:tcW w:w="1997" w:type="dxa"/>
            <w:noWrap w:val="0"/>
            <w:vAlign w:val="center"/>
          </w:tcPr>
          <w:p w14:paraId="0FCEE9D5">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3.0</w:t>
            </w:r>
            <w:r>
              <w:rPr>
                <w:rFonts w:hint="eastAsia" w:ascii="华文中宋" w:hAnsi="华文中宋" w:eastAsia="华文中宋" w:cs="华文中宋"/>
                <w:sz w:val="20"/>
                <w:szCs w:val="20"/>
              </w:rPr>
              <w:t>kV5min</w:t>
            </w:r>
            <w:r>
              <w:rPr>
                <w:rFonts w:hint="eastAsia" w:ascii="华文中宋" w:hAnsi="华文中宋" w:eastAsia="华文中宋" w:cs="华文中宋"/>
                <w:sz w:val="20"/>
                <w:szCs w:val="20"/>
                <w:lang w:eastAsia="zh-CN"/>
              </w:rPr>
              <w:t>不击穿</w:t>
            </w:r>
          </w:p>
        </w:tc>
      </w:tr>
      <w:tr w14:paraId="45E0B3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31F35BEB">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60227 IEC 01(BV)  2.5</w:t>
            </w:r>
          </w:p>
          <w:p w14:paraId="5DCFD026">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(电线450/750V)</w:t>
            </w:r>
          </w:p>
        </w:tc>
        <w:tc>
          <w:tcPr>
            <w:tcW w:w="2354" w:type="dxa"/>
            <w:noWrap w:val="0"/>
            <w:vAlign w:val="center"/>
          </w:tcPr>
          <w:p w14:paraId="5FBDFF7E">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23E23998">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7.41</w:t>
            </w:r>
            <w:r>
              <w:rPr>
                <w:rFonts w:hint="eastAsia" w:ascii="华文中宋" w:hAnsi="华文中宋" w:eastAsia="华文中宋" w:cs="华文中宋"/>
                <w:sz w:val="20"/>
                <w:szCs w:val="20"/>
              </w:rPr>
              <w:t>Ω/㎞</w:t>
            </w:r>
          </w:p>
        </w:tc>
        <w:tc>
          <w:tcPr>
            <w:tcW w:w="1997" w:type="dxa"/>
            <w:noWrap w:val="0"/>
            <w:vAlign w:val="center"/>
          </w:tcPr>
          <w:p w14:paraId="63915B04">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7.41</w:t>
            </w:r>
            <w:r>
              <w:rPr>
                <w:rFonts w:hint="eastAsia" w:ascii="华文中宋" w:hAnsi="华文中宋" w:eastAsia="华文中宋" w:cs="华文中宋"/>
                <w:sz w:val="20"/>
                <w:szCs w:val="20"/>
              </w:rPr>
              <w:t>Ω/㎞</w:t>
            </w:r>
          </w:p>
        </w:tc>
      </w:tr>
      <w:tr w14:paraId="7CF9A2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09A0AF7E">
            <w:pPr>
              <w:jc w:val="center"/>
              <w:rPr>
                <w:rFonts w:hint="eastAsia" w:ascii="华文中宋" w:hAnsi="华文中宋" w:eastAsia="华文中宋" w:cs="华文中宋"/>
                <w:sz w:val="20"/>
                <w:szCs w:val="20"/>
                <w:highlight w:val="none"/>
              </w:rPr>
            </w:pPr>
          </w:p>
        </w:tc>
        <w:tc>
          <w:tcPr>
            <w:tcW w:w="2354" w:type="dxa"/>
            <w:noWrap w:val="0"/>
            <w:vAlign w:val="center"/>
          </w:tcPr>
          <w:p w14:paraId="40ABD81F">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7B29AC5F">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0.8</w:t>
            </w:r>
            <w:r>
              <w:rPr>
                <w:rFonts w:hint="eastAsia" w:ascii="华文中宋" w:hAnsi="华文中宋" w:eastAsia="华文中宋" w:cs="华文中宋"/>
                <w:sz w:val="20"/>
                <w:szCs w:val="20"/>
              </w:rPr>
              <w:t>mm</w:t>
            </w:r>
          </w:p>
        </w:tc>
        <w:tc>
          <w:tcPr>
            <w:tcW w:w="1997" w:type="dxa"/>
            <w:noWrap w:val="0"/>
            <w:vAlign w:val="center"/>
          </w:tcPr>
          <w:p w14:paraId="2AF0698F">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0.8</w:t>
            </w:r>
          </w:p>
        </w:tc>
      </w:tr>
      <w:tr w14:paraId="012ED6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146A17D5">
            <w:pPr>
              <w:jc w:val="center"/>
              <w:rPr>
                <w:rFonts w:hint="eastAsia" w:ascii="华文中宋" w:hAnsi="华文中宋" w:eastAsia="华文中宋" w:cs="华文中宋"/>
                <w:sz w:val="20"/>
                <w:szCs w:val="20"/>
                <w:highlight w:val="none"/>
              </w:rPr>
            </w:pPr>
          </w:p>
        </w:tc>
        <w:tc>
          <w:tcPr>
            <w:tcW w:w="2354" w:type="dxa"/>
            <w:noWrap w:val="0"/>
            <w:vAlign w:val="center"/>
          </w:tcPr>
          <w:p w14:paraId="4C0D5DAA">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r>
              <w:rPr>
                <w:rFonts w:hint="eastAsia" w:ascii="华文中宋" w:hAnsi="华文中宋" w:eastAsia="华文中宋" w:cs="华文中宋"/>
                <w:sz w:val="20"/>
                <w:szCs w:val="20"/>
                <w:lang w:val="en-US" w:eastAsia="zh-CN"/>
              </w:rPr>
              <w:t>(芯与水）</w:t>
            </w:r>
          </w:p>
        </w:tc>
        <w:tc>
          <w:tcPr>
            <w:tcW w:w="2384" w:type="dxa"/>
            <w:noWrap w:val="0"/>
            <w:vAlign w:val="center"/>
          </w:tcPr>
          <w:p w14:paraId="0D987A45">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2.5</w:t>
            </w:r>
            <w:r>
              <w:rPr>
                <w:rFonts w:hint="eastAsia" w:ascii="华文中宋" w:hAnsi="华文中宋" w:eastAsia="华文中宋" w:cs="华文中宋"/>
                <w:sz w:val="20"/>
                <w:szCs w:val="20"/>
              </w:rPr>
              <w:t>kV5min</w:t>
            </w:r>
          </w:p>
        </w:tc>
        <w:tc>
          <w:tcPr>
            <w:tcW w:w="1997" w:type="dxa"/>
            <w:noWrap w:val="0"/>
            <w:vAlign w:val="center"/>
          </w:tcPr>
          <w:p w14:paraId="633C7425">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2.5</w:t>
            </w:r>
            <w:r>
              <w:rPr>
                <w:rFonts w:hint="eastAsia" w:ascii="华文中宋" w:hAnsi="华文中宋" w:eastAsia="华文中宋" w:cs="华文中宋"/>
                <w:sz w:val="20"/>
                <w:szCs w:val="20"/>
              </w:rPr>
              <w:t>kV5min</w:t>
            </w:r>
            <w:r>
              <w:rPr>
                <w:rFonts w:hint="eastAsia" w:ascii="华文中宋" w:hAnsi="华文中宋" w:eastAsia="华文中宋" w:cs="华文中宋"/>
                <w:sz w:val="20"/>
                <w:szCs w:val="20"/>
                <w:lang w:eastAsia="zh-CN"/>
              </w:rPr>
              <w:t>不击穿</w:t>
            </w:r>
          </w:p>
        </w:tc>
      </w:tr>
      <w:tr w14:paraId="2C9161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17F277DF">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BVR  4</w:t>
            </w:r>
          </w:p>
          <w:p w14:paraId="00AD219D">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(电线450/750V)</w:t>
            </w:r>
          </w:p>
        </w:tc>
        <w:tc>
          <w:tcPr>
            <w:tcW w:w="2354" w:type="dxa"/>
            <w:noWrap w:val="0"/>
            <w:vAlign w:val="center"/>
          </w:tcPr>
          <w:p w14:paraId="50670BAF">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7480408F">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4.61</w:t>
            </w:r>
            <w:r>
              <w:rPr>
                <w:rFonts w:hint="eastAsia" w:ascii="华文中宋" w:hAnsi="华文中宋" w:eastAsia="华文中宋" w:cs="华文中宋"/>
                <w:sz w:val="20"/>
                <w:szCs w:val="20"/>
              </w:rPr>
              <w:t>Ω/㎞</w:t>
            </w:r>
          </w:p>
        </w:tc>
        <w:tc>
          <w:tcPr>
            <w:tcW w:w="1997" w:type="dxa"/>
            <w:noWrap w:val="0"/>
            <w:vAlign w:val="center"/>
          </w:tcPr>
          <w:p w14:paraId="37D31D04">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4.61</w:t>
            </w:r>
            <w:r>
              <w:rPr>
                <w:rFonts w:hint="eastAsia" w:ascii="华文中宋" w:hAnsi="华文中宋" w:eastAsia="华文中宋" w:cs="华文中宋"/>
                <w:sz w:val="20"/>
                <w:szCs w:val="20"/>
              </w:rPr>
              <w:t>Ω/㎞</w:t>
            </w:r>
          </w:p>
        </w:tc>
      </w:tr>
      <w:tr w14:paraId="071031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469896E7">
            <w:pPr>
              <w:jc w:val="center"/>
              <w:rPr>
                <w:rFonts w:hint="eastAsia" w:ascii="华文中宋" w:hAnsi="华文中宋" w:eastAsia="华文中宋" w:cs="华文中宋"/>
                <w:sz w:val="20"/>
                <w:szCs w:val="20"/>
                <w:highlight w:val="none"/>
              </w:rPr>
            </w:pPr>
          </w:p>
        </w:tc>
        <w:tc>
          <w:tcPr>
            <w:tcW w:w="2354" w:type="dxa"/>
            <w:noWrap w:val="0"/>
            <w:vAlign w:val="center"/>
          </w:tcPr>
          <w:p w14:paraId="0D772A47">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3302EB40">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0.8</w:t>
            </w:r>
            <w:r>
              <w:rPr>
                <w:rFonts w:hint="eastAsia" w:ascii="华文中宋" w:hAnsi="华文中宋" w:eastAsia="华文中宋" w:cs="华文中宋"/>
                <w:sz w:val="20"/>
                <w:szCs w:val="20"/>
              </w:rPr>
              <w:t>mm</w:t>
            </w:r>
          </w:p>
        </w:tc>
        <w:tc>
          <w:tcPr>
            <w:tcW w:w="1997" w:type="dxa"/>
            <w:noWrap w:val="0"/>
            <w:vAlign w:val="center"/>
          </w:tcPr>
          <w:p w14:paraId="77AD8E30">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0.8</w:t>
            </w:r>
          </w:p>
        </w:tc>
      </w:tr>
      <w:tr w14:paraId="142EF2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133C67E5">
            <w:pPr>
              <w:jc w:val="center"/>
              <w:rPr>
                <w:rFonts w:hint="eastAsia" w:ascii="华文中宋" w:hAnsi="华文中宋" w:eastAsia="华文中宋" w:cs="华文中宋"/>
                <w:sz w:val="20"/>
                <w:szCs w:val="20"/>
                <w:highlight w:val="none"/>
              </w:rPr>
            </w:pPr>
          </w:p>
        </w:tc>
        <w:tc>
          <w:tcPr>
            <w:tcW w:w="2354" w:type="dxa"/>
            <w:noWrap w:val="0"/>
            <w:vAlign w:val="center"/>
          </w:tcPr>
          <w:p w14:paraId="0924D7B3">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r>
              <w:rPr>
                <w:rFonts w:hint="eastAsia" w:ascii="华文中宋" w:hAnsi="华文中宋" w:eastAsia="华文中宋" w:cs="华文中宋"/>
                <w:sz w:val="20"/>
                <w:szCs w:val="20"/>
                <w:lang w:val="en-US" w:eastAsia="zh-CN"/>
              </w:rPr>
              <w:t>(芯与水）</w:t>
            </w:r>
          </w:p>
        </w:tc>
        <w:tc>
          <w:tcPr>
            <w:tcW w:w="2384" w:type="dxa"/>
            <w:noWrap w:val="0"/>
            <w:vAlign w:val="center"/>
          </w:tcPr>
          <w:p w14:paraId="08C90D85">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2.5</w:t>
            </w:r>
            <w:r>
              <w:rPr>
                <w:rFonts w:hint="eastAsia" w:ascii="华文中宋" w:hAnsi="华文中宋" w:eastAsia="华文中宋" w:cs="华文中宋"/>
                <w:sz w:val="20"/>
                <w:szCs w:val="20"/>
              </w:rPr>
              <w:t>kV5min</w:t>
            </w:r>
          </w:p>
        </w:tc>
        <w:tc>
          <w:tcPr>
            <w:tcW w:w="1997" w:type="dxa"/>
            <w:noWrap w:val="0"/>
            <w:vAlign w:val="center"/>
          </w:tcPr>
          <w:p w14:paraId="55F2950A">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2.5</w:t>
            </w:r>
            <w:r>
              <w:rPr>
                <w:rFonts w:hint="eastAsia" w:ascii="华文中宋" w:hAnsi="华文中宋" w:eastAsia="华文中宋" w:cs="华文中宋"/>
                <w:sz w:val="20"/>
                <w:szCs w:val="20"/>
              </w:rPr>
              <w:t>kV5min</w:t>
            </w:r>
            <w:r>
              <w:rPr>
                <w:rFonts w:hint="eastAsia" w:ascii="华文中宋" w:hAnsi="华文中宋" w:eastAsia="华文中宋" w:cs="华文中宋"/>
                <w:sz w:val="20"/>
                <w:szCs w:val="20"/>
                <w:lang w:eastAsia="zh-CN"/>
              </w:rPr>
              <w:t>不击穿</w:t>
            </w:r>
          </w:p>
        </w:tc>
      </w:tr>
      <w:tr w14:paraId="7ACBAD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504F5A9A">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60227 IEC 53(RVV)  2*2.5</w:t>
            </w:r>
          </w:p>
          <w:p w14:paraId="422F093B">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(软电缆300/500V)</w:t>
            </w:r>
          </w:p>
        </w:tc>
        <w:tc>
          <w:tcPr>
            <w:tcW w:w="2354" w:type="dxa"/>
            <w:noWrap w:val="0"/>
            <w:vAlign w:val="center"/>
          </w:tcPr>
          <w:p w14:paraId="53A9A683">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1A3DEE7D">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7.98</w:t>
            </w:r>
            <w:r>
              <w:rPr>
                <w:rFonts w:hint="eastAsia" w:ascii="华文中宋" w:hAnsi="华文中宋" w:eastAsia="华文中宋" w:cs="华文中宋"/>
                <w:sz w:val="20"/>
                <w:szCs w:val="20"/>
              </w:rPr>
              <w:t>Ω/㎞</w:t>
            </w:r>
          </w:p>
        </w:tc>
        <w:tc>
          <w:tcPr>
            <w:tcW w:w="1997" w:type="dxa"/>
            <w:noWrap w:val="0"/>
            <w:vAlign w:val="center"/>
          </w:tcPr>
          <w:p w14:paraId="07987723">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7.98</w:t>
            </w:r>
            <w:r>
              <w:rPr>
                <w:rFonts w:hint="eastAsia" w:ascii="华文中宋" w:hAnsi="华文中宋" w:eastAsia="华文中宋" w:cs="华文中宋"/>
                <w:sz w:val="20"/>
                <w:szCs w:val="20"/>
              </w:rPr>
              <w:t>Ω/㎞</w:t>
            </w:r>
          </w:p>
        </w:tc>
      </w:tr>
      <w:tr w14:paraId="5080B1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0A480123">
            <w:pPr>
              <w:widowControl/>
              <w:jc w:val="center"/>
              <w:rPr>
                <w:color w:val="FF0000"/>
                <w:kern w:val="0"/>
                <w:szCs w:val="21"/>
              </w:rPr>
            </w:pPr>
          </w:p>
        </w:tc>
        <w:tc>
          <w:tcPr>
            <w:tcW w:w="2354" w:type="dxa"/>
            <w:noWrap w:val="0"/>
            <w:vAlign w:val="center"/>
          </w:tcPr>
          <w:p w14:paraId="43E53540">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1C626210">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0.8</w:t>
            </w:r>
            <w:r>
              <w:rPr>
                <w:rFonts w:hint="eastAsia" w:ascii="华文中宋" w:hAnsi="华文中宋" w:eastAsia="华文中宋" w:cs="华文中宋"/>
                <w:sz w:val="20"/>
                <w:szCs w:val="20"/>
              </w:rPr>
              <w:t>mm</w:t>
            </w:r>
          </w:p>
        </w:tc>
        <w:tc>
          <w:tcPr>
            <w:tcW w:w="1997" w:type="dxa"/>
            <w:noWrap w:val="0"/>
            <w:vAlign w:val="center"/>
          </w:tcPr>
          <w:p w14:paraId="379EAA09">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0.8</w:t>
            </w:r>
          </w:p>
        </w:tc>
      </w:tr>
      <w:tr w14:paraId="227E99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54C87884">
            <w:pPr>
              <w:widowControl/>
              <w:jc w:val="center"/>
              <w:rPr>
                <w:color w:val="FF0000"/>
                <w:kern w:val="0"/>
                <w:szCs w:val="21"/>
              </w:rPr>
            </w:pPr>
          </w:p>
        </w:tc>
        <w:tc>
          <w:tcPr>
            <w:tcW w:w="2354" w:type="dxa"/>
            <w:noWrap w:val="0"/>
            <w:vAlign w:val="center"/>
          </w:tcPr>
          <w:p w14:paraId="72897A11">
            <w:pPr>
              <w:pStyle w:val="6"/>
              <w:spacing w:line="240" w:lineRule="auto"/>
              <w:ind w:firstLine="0" w:firstLineChars="0"/>
              <w:jc w:val="center"/>
              <w:rPr>
                <w:rFonts w:hint="eastAsia" w:ascii="华文中宋" w:hAnsi="华文中宋" w:eastAsia="华文中宋" w:cs="华文中宋"/>
                <w:sz w:val="20"/>
                <w:szCs w:val="20"/>
                <w:lang w:eastAsia="zh-CN"/>
              </w:rPr>
            </w:pPr>
            <w:r>
              <w:rPr>
                <w:rFonts w:hint="eastAsia" w:ascii="华文中宋" w:hAnsi="华文中宋" w:eastAsia="华文中宋" w:cs="华文中宋"/>
                <w:sz w:val="20"/>
                <w:szCs w:val="20"/>
                <w:lang w:eastAsia="zh-CN"/>
              </w:rPr>
              <w:t>护套厚度</w:t>
            </w:r>
          </w:p>
        </w:tc>
        <w:tc>
          <w:tcPr>
            <w:tcW w:w="2384" w:type="dxa"/>
            <w:noWrap w:val="0"/>
            <w:vAlign w:val="center"/>
          </w:tcPr>
          <w:p w14:paraId="7BCEDD11">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1.0</w:t>
            </w:r>
            <w:r>
              <w:rPr>
                <w:rFonts w:hint="eastAsia" w:ascii="华文中宋" w:hAnsi="华文中宋" w:eastAsia="华文中宋" w:cs="华文中宋"/>
                <w:sz w:val="20"/>
                <w:szCs w:val="20"/>
              </w:rPr>
              <w:t>mm</w:t>
            </w:r>
          </w:p>
        </w:tc>
        <w:tc>
          <w:tcPr>
            <w:tcW w:w="1997" w:type="dxa"/>
            <w:noWrap w:val="0"/>
            <w:vAlign w:val="center"/>
          </w:tcPr>
          <w:p w14:paraId="3A6905DF">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1.0</w:t>
            </w:r>
          </w:p>
        </w:tc>
      </w:tr>
      <w:tr w14:paraId="053305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6195FB42">
            <w:pPr>
              <w:widowControl/>
              <w:jc w:val="center"/>
              <w:rPr>
                <w:color w:val="FF0000"/>
                <w:kern w:val="0"/>
                <w:szCs w:val="21"/>
              </w:rPr>
            </w:pPr>
          </w:p>
        </w:tc>
        <w:tc>
          <w:tcPr>
            <w:tcW w:w="2354" w:type="dxa"/>
            <w:noWrap w:val="0"/>
            <w:vAlign w:val="center"/>
          </w:tcPr>
          <w:p w14:paraId="16A2348C">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p>
        </w:tc>
        <w:tc>
          <w:tcPr>
            <w:tcW w:w="2384" w:type="dxa"/>
            <w:noWrap w:val="0"/>
            <w:vAlign w:val="center"/>
          </w:tcPr>
          <w:p w14:paraId="3C9219C6">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2.0</w:t>
            </w:r>
            <w:r>
              <w:rPr>
                <w:rFonts w:hint="eastAsia" w:ascii="华文中宋" w:hAnsi="华文中宋" w:eastAsia="华文中宋" w:cs="华文中宋"/>
                <w:sz w:val="20"/>
                <w:szCs w:val="20"/>
              </w:rPr>
              <w:t>kV5min</w:t>
            </w:r>
          </w:p>
        </w:tc>
        <w:tc>
          <w:tcPr>
            <w:tcW w:w="1997" w:type="dxa"/>
            <w:noWrap w:val="0"/>
            <w:vAlign w:val="center"/>
          </w:tcPr>
          <w:p w14:paraId="6ECF2557">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2.0</w:t>
            </w:r>
            <w:r>
              <w:rPr>
                <w:rFonts w:hint="eastAsia" w:ascii="华文中宋" w:hAnsi="华文中宋" w:eastAsia="华文中宋" w:cs="华文中宋"/>
                <w:sz w:val="20"/>
                <w:szCs w:val="20"/>
              </w:rPr>
              <w:t>kV5min</w:t>
            </w:r>
            <w:r>
              <w:rPr>
                <w:rFonts w:hint="eastAsia" w:ascii="华文中宋" w:hAnsi="华文中宋" w:eastAsia="华文中宋" w:cs="华文中宋"/>
                <w:sz w:val="20"/>
                <w:szCs w:val="20"/>
                <w:lang w:eastAsia="zh-CN"/>
              </w:rPr>
              <w:t>不击穿</w:t>
            </w:r>
          </w:p>
        </w:tc>
      </w:tr>
      <w:tr w14:paraId="4FD809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146DF89E">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JKLYJ 1X185(架空绝缘1kV)</w:t>
            </w:r>
          </w:p>
        </w:tc>
        <w:tc>
          <w:tcPr>
            <w:tcW w:w="2354" w:type="dxa"/>
            <w:noWrap w:val="0"/>
            <w:vAlign w:val="center"/>
          </w:tcPr>
          <w:p w14:paraId="277C7E20">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61238F43">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0.164</w:t>
            </w:r>
            <w:r>
              <w:rPr>
                <w:rFonts w:hint="eastAsia" w:ascii="华文中宋" w:hAnsi="华文中宋" w:eastAsia="华文中宋" w:cs="华文中宋"/>
                <w:sz w:val="20"/>
                <w:szCs w:val="20"/>
              </w:rPr>
              <w:t>Ω/㎞</w:t>
            </w:r>
          </w:p>
        </w:tc>
        <w:tc>
          <w:tcPr>
            <w:tcW w:w="1997" w:type="dxa"/>
            <w:noWrap w:val="0"/>
            <w:vAlign w:val="center"/>
          </w:tcPr>
          <w:p w14:paraId="0913395A">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0.164</w:t>
            </w:r>
            <w:r>
              <w:rPr>
                <w:rFonts w:hint="eastAsia" w:ascii="华文中宋" w:hAnsi="华文中宋" w:eastAsia="华文中宋" w:cs="华文中宋"/>
                <w:sz w:val="20"/>
                <w:szCs w:val="20"/>
              </w:rPr>
              <w:t>Ω/㎞</w:t>
            </w:r>
          </w:p>
        </w:tc>
      </w:tr>
      <w:tr w14:paraId="21844D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285FC730">
            <w:pPr>
              <w:jc w:val="center"/>
              <w:rPr>
                <w:rFonts w:hint="eastAsia" w:ascii="华文中宋" w:hAnsi="华文中宋" w:eastAsia="华文中宋" w:cs="华文中宋"/>
                <w:sz w:val="20"/>
                <w:szCs w:val="20"/>
                <w:highlight w:val="none"/>
                <w:lang w:val="en-US" w:eastAsia="zh-CN"/>
              </w:rPr>
            </w:pPr>
          </w:p>
        </w:tc>
        <w:tc>
          <w:tcPr>
            <w:tcW w:w="2354" w:type="dxa"/>
            <w:noWrap w:val="0"/>
            <w:vAlign w:val="center"/>
          </w:tcPr>
          <w:p w14:paraId="33B19333">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绝缘厚度</w:t>
            </w:r>
          </w:p>
        </w:tc>
        <w:tc>
          <w:tcPr>
            <w:tcW w:w="2384" w:type="dxa"/>
            <w:noWrap w:val="0"/>
            <w:vAlign w:val="center"/>
          </w:tcPr>
          <w:p w14:paraId="1633D912">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2.0</w:t>
            </w:r>
            <w:r>
              <w:rPr>
                <w:rFonts w:hint="eastAsia" w:ascii="华文中宋" w:hAnsi="华文中宋" w:eastAsia="华文中宋" w:cs="华文中宋"/>
                <w:sz w:val="20"/>
                <w:szCs w:val="20"/>
              </w:rPr>
              <w:t>mm</w:t>
            </w:r>
          </w:p>
        </w:tc>
        <w:tc>
          <w:tcPr>
            <w:tcW w:w="1997" w:type="dxa"/>
            <w:noWrap w:val="0"/>
            <w:vAlign w:val="center"/>
          </w:tcPr>
          <w:p w14:paraId="7A01CE08">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2.0</w:t>
            </w:r>
          </w:p>
        </w:tc>
      </w:tr>
      <w:tr w14:paraId="0C3135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2DA69CC2">
            <w:pPr>
              <w:jc w:val="center"/>
              <w:rPr>
                <w:rFonts w:hint="eastAsia" w:ascii="华文中宋" w:hAnsi="华文中宋" w:eastAsia="华文中宋" w:cs="华文中宋"/>
                <w:sz w:val="20"/>
                <w:szCs w:val="20"/>
                <w:highlight w:val="none"/>
                <w:lang w:val="en-US" w:eastAsia="zh-CN"/>
              </w:rPr>
            </w:pPr>
          </w:p>
        </w:tc>
        <w:tc>
          <w:tcPr>
            <w:tcW w:w="2354" w:type="dxa"/>
            <w:noWrap w:val="0"/>
            <w:vAlign w:val="center"/>
          </w:tcPr>
          <w:p w14:paraId="77EBD20B">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耐压</w:t>
            </w:r>
            <w:r>
              <w:rPr>
                <w:rFonts w:hint="eastAsia" w:ascii="华文中宋" w:hAnsi="华文中宋" w:eastAsia="华文中宋" w:cs="华文中宋"/>
                <w:sz w:val="20"/>
                <w:szCs w:val="20"/>
                <w:lang w:val="en-US" w:eastAsia="zh-CN"/>
              </w:rPr>
              <w:t>(芯与水）</w:t>
            </w:r>
          </w:p>
        </w:tc>
        <w:tc>
          <w:tcPr>
            <w:tcW w:w="2384" w:type="dxa"/>
            <w:noWrap w:val="0"/>
            <w:vAlign w:val="center"/>
          </w:tcPr>
          <w:p w14:paraId="0A375499">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3.5</w:t>
            </w:r>
            <w:r>
              <w:rPr>
                <w:rFonts w:hint="eastAsia" w:ascii="华文中宋" w:hAnsi="华文中宋" w:eastAsia="华文中宋" w:cs="华文中宋"/>
                <w:sz w:val="20"/>
                <w:szCs w:val="20"/>
              </w:rPr>
              <w:t>kV</w:t>
            </w:r>
            <w:r>
              <w:rPr>
                <w:rFonts w:hint="eastAsia" w:ascii="华文中宋" w:hAnsi="华文中宋" w:eastAsia="华文中宋" w:cs="华文中宋"/>
                <w:sz w:val="20"/>
                <w:szCs w:val="20"/>
                <w:lang w:val="en-US" w:eastAsia="zh-CN"/>
              </w:rPr>
              <w:t>1</w:t>
            </w:r>
            <w:r>
              <w:rPr>
                <w:rFonts w:hint="eastAsia" w:ascii="华文中宋" w:hAnsi="华文中宋" w:eastAsia="华文中宋" w:cs="华文中宋"/>
                <w:sz w:val="20"/>
                <w:szCs w:val="20"/>
              </w:rPr>
              <w:t>min</w:t>
            </w:r>
          </w:p>
        </w:tc>
        <w:tc>
          <w:tcPr>
            <w:tcW w:w="1997" w:type="dxa"/>
            <w:noWrap w:val="0"/>
            <w:vAlign w:val="center"/>
          </w:tcPr>
          <w:p w14:paraId="43B5AEB1">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3.5</w:t>
            </w:r>
            <w:r>
              <w:rPr>
                <w:rFonts w:hint="eastAsia" w:ascii="华文中宋" w:hAnsi="华文中宋" w:eastAsia="华文中宋" w:cs="华文中宋"/>
                <w:sz w:val="20"/>
                <w:szCs w:val="20"/>
              </w:rPr>
              <w:t>kV</w:t>
            </w:r>
            <w:r>
              <w:rPr>
                <w:rFonts w:hint="eastAsia" w:ascii="华文中宋" w:hAnsi="华文中宋" w:eastAsia="华文中宋" w:cs="华文中宋"/>
                <w:sz w:val="20"/>
                <w:szCs w:val="20"/>
                <w:lang w:val="en-US" w:eastAsia="zh-CN"/>
              </w:rPr>
              <w:t>1</w:t>
            </w:r>
            <w:r>
              <w:rPr>
                <w:rFonts w:hint="eastAsia" w:ascii="华文中宋" w:hAnsi="华文中宋" w:eastAsia="华文中宋" w:cs="华文中宋"/>
                <w:sz w:val="20"/>
                <w:szCs w:val="20"/>
              </w:rPr>
              <w:t>min</w:t>
            </w:r>
            <w:r>
              <w:rPr>
                <w:rFonts w:hint="eastAsia" w:ascii="华文中宋" w:hAnsi="华文中宋" w:eastAsia="华文中宋" w:cs="华文中宋"/>
                <w:sz w:val="20"/>
                <w:szCs w:val="20"/>
                <w:lang w:eastAsia="zh-CN"/>
              </w:rPr>
              <w:t>不击穿</w:t>
            </w:r>
          </w:p>
        </w:tc>
      </w:tr>
      <w:tr w14:paraId="44D0FC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restart"/>
            <w:noWrap w:val="0"/>
            <w:vAlign w:val="center"/>
          </w:tcPr>
          <w:p w14:paraId="1E7F0FB9">
            <w:pPr>
              <w:jc w:val="center"/>
              <w:rPr>
                <w:rFonts w:hint="default" w:ascii="华文中宋" w:hAnsi="华文中宋" w:eastAsia="华文中宋" w:cs="华文中宋"/>
                <w:sz w:val="20"/>
                <w:szCs w:val="20"/>
                <w:highlight w:val="none"/>
                <w:lang w:val="en-US" w:eastAsia="zh-CN"/>
              </w:rPr>
            </w:pPr>
            <w:r>
              <w:rPr>
                <w:rFonts w:hint="eastAsia" w:ascii="华文中宋" w:hAnsi="华文中宋" w:eastAsia="华文中宋" w:cs="华文中宋"/>
                <w:sz w:val="20"/>
                <w:szCs w:val="20"/>
                <w:highlight w:val="none"/>
                <w:lang w:val="en-US" w:eastAsia="zh-CN"/>
              </w:rPr>
              <w:t>JL 1X25(铝绞线)</w:t>
            </w:r>
          </w:p>
        </w:tc>
        <w:tc>
          <w:tcPr>
            <w:tcW w:w="2354" w:type="dxa"/>
            <w:noWrap w:val="0"/>
            <w:vAlign w:val="center"/>
          </w:tcPr>
          <w:p w14:paraId="5809C999">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导体电阻</w:t>
            </w:r>
          </w:p>
        </w:tc>
        <w:tc>
          <w:tcPr>
            <w:tcW w:w="2384" w:type="dxa"/>
            <w:noWrap w:val="0"/>
            <w:vAlign w:val="center"/>
          </w:tcPr>
          <w:p w14:paraId="3D00C881">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1.1480</w:t>
            </w:r>
            <w:r>
              <w:rPr>
                <w:rFonts w:hint="eastAsia" w:ascii="华文中宋" w:hAnsi="华文中宋" w:eastAsia="华文中宋" w:cs="华文中宋"/>
                <w:sz w:val="20"/>
                <w:szCs w:val="20"/>
              </w:rPr>
              <w:t>Ω/㎞</w:t>
            </w:r>
          </w:p>
        </w:tc>
        <w:tc>
          <w:tcPr>
            <w:tcW w:w="1997" w:type="dxa"/>
            <w:noWrap w:val="0"/>
            <w:vAlign w:val="center"/>
          </w:tcPr>
          <w:p w14:paraId="6D9E02B7">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1.1480</w:t>
            </w:r>
            <w:r>
              <w:rPr>
                <w:rFonts w:hint="eastAsia" w:ascii="华文中宋" w:hAnsi="华文中宋" w:eastAsia="华文中宋" w:cs="华文中宋"/>
                <w:sz w:val="20"/>
                <w:szCs w:val="20"/>
              </w:rPr>
              <w:t>Ω/㎞</w:t>
            </w:r>
          </w:p>
        </w:tc>
      </w:tr>
      <w:tr w14:paraId="0C128E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5BBA1869">
            <w:pPr>
              <w:widowControl/>
              <w:jc w:val="center"/>
              <w:rPr>
                <w:color w:val="FF0000"/>
                <w:kern w:val="0"/>
                <w:szCs w:val="21"/>
              </w:rPr>
            </w:pPr>
          </w:p>
        </w:tc>
        <w:tc>
          <w:tcPr>
            <w:tcW w:w="2354" w:type="dxa"/>
            <w:noWrap w:val="0"/>
            <w:vAlign w:val="center"/>
          </w:tcPr>
          <w:p w14:paraId="42DF5C2F">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eastAsia="zh-CN"/>
              </w:rPr>
              <w:t>额定拉断力</w:t>
            </w:r>
          </w:p>
        </w:tc>
        <w:tc>
          <w:tcPr>
            <w:tcW w:w="2384" w:type="dxa"/>
            <w:noWrap w:val="0"/>
            <w:vAlign w:val="center"/>
          </w:tcPr>
          <w:p w14:paraId="63661C06">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4.49kN</w:t>
            </w:r>
          </w:p>
        </w:tc>
        <w:tc>
          <w:tcPr>
            <w:tcW w:w="1997" w:type="dxa"/>
            <w:noWrap w:val="0"/>
            <w:vAlign w:val="center"/>
          </w:tcPr>
          <w:p w14:paraId="45B6BDC6">
            <w:pPr>
              <w:pStyle w:val="6"/>
              <w:spacing w:line="240" w:lineRule="auto"/>
              <w:ind w:firstLine="0" w:firstLineChars="0"/>
              <w:jc w:val="center"/>
              <w:rPr>
                <w:rFonts w:hint="default"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rPr>
              <w:t>≥</w:t>
            </w:r>
            <w:r>
              <w:rPr>
                <w:rFonts w:hint="eastAsia" w:ascii="华文中宋" w:hAnsi="华文中宋" w:eastAsia="华文中宋" w:cs="华文中宋"/>
                <w:sz w:val="20"/>
                <w:szCs w:val="20"/>
                <w:lang w:val="en-US" w:eastAsia="zh-CN"/>
              </w:rPr>
              <w:t>4.49</w:t>
            </w:r>
          </w:p>
        </w:tc>
      </w:tr>
      <w:tr w14:paraId="6B505A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816" w:type="dxa"/>
            <w:vMerge w:val="continue"/>
            <w:noWrap w:val="0"/>
            <w:vAlign w:val="top"/>
          </w:tcPr>
          <w:p w14:paraId="1E84821D">
            <w:pPr>
              <w:widowControl/>
              <w:jc w:val="center"/>
              <w:rPr>
                <w:color w:val="FF0000"/>
                <w:kern w:val="0"/>
                <w:szCs w:val="21"/>
              </w:rPr>
            </w:pPr>
          </w:p>
        </w:tc>
        <w:tc>
          <w:tcPr>
            <w:tcW w:w="2354" w:type="dxa"/>
            <w:noWrap w:val="0"/>
            <w:vAlign w:val="center"/>
          </w:tcPr>
          <w:p w14:paraId="76E3CD8F">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kern w:val="2"/>
                <w:sz w:val="20"/>
                <w:szCs w:val="20"/>
                <w:lang w:val="en-US" w:eastAsia="zh-CN" w:bidi="ar-SA"/>
              </w:rPr>
              <w:t>单线根数</w:t>
            </w:r>
          </w:p>
        </w:tc>
        <w:tc>
          <w:tcPr>
            <w:tcW w:w="2384" w:type="dxa"/>
            <w:noWrap w:val="0"/>
            <w:vAlign w:val="center"/>
          </w:tcPr>
          <w:p w14:paraId="33D080B6">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7</w:t>
            </w:r>
          </w:p>
        </w:tc>
        <w:tc>
          <w:tcPr>
            <w:tcW w:w="1997" w:type="dxa"/>
            <w:noWrap w:val="0"/>
            <w:vAlign w:val="center"/>
          </w:tcPr>
          <w:p w14:paraId="179D2139">
            <w:pPr>
              <w:pStyle w:val="6"/>
              <w:spacing w:line="240" w:lineRule="auto"/>
              <w:ind w:firstLine="0" w:firstLineChars="0"/>
              <w:jc w:val="center"/>
              <w:rPr>
                <w:rFonts w:hint="eastAsia" w:ascii="华文中宋" w:hAnsi="华文中宋" w:eastAsia="华文中宋" w:cs="华文中宋"/>
                <w:kern w:val="2"/>
                <w:sz w:val="20"/>
                <w:szCs w:val="20"/>
                <w:lang w:val="en-US" w:eastAsia="zh-CN" w:bidi="ar-SA"/>
              </w:rPr>
            </w:pPr>
            <w:r>
              <w:rPr>
                <w:rFonts w:hint="eastAsia" w:ascii="华文中宋" w:hAnsi="华文中宋" w:eastAsia="华文中宋" w:cs="华文中宋"/>
                <w:sz w:val="20"/>
                <w:szCs w:val="20"/>
                <w:lang w:val="en-US" w:eastAsia="zh-CN"/>
              </w:rPr>
              <w:t>7</w:t>
            </w:r>
          </w:p>
        </w:tc>
      </w:tr>
    </w:tbl>
    <w:p w14:paraId="7908D197">
      <w:pPr>
        <w:spacing w:line="360" w:lineRule="auto"/>
        <w:ind w:firstLine="422" w:firstLineChars="200"/>
        <w:jc w:val="center"/>
        <w:rPr>
          <w:rFonts w:hint="eastAsia" w:cs="仿宋_GB2312" w:asciiTheme="minorEastAsia" w:hAnsiTheme="minorEastAsia" w:eastAsiaTheme="minorEastAsia"/>
          <w:b/>
          <w:bCs/>
          <w:color w:val="000000" w:themeColor="text1"/>
          <w:szCs w:val="21"/>
          <w:lang w:val="en-US" w:eastAsia="zh-CN"/>
        </w:rPr>
      </w:pPr>
      <w:r>
        <w:rPr>
          <w:rFonts w:hint="eastAsia" w:cs="仿宋_GB2312" w:asciiTheme="minorEastAsia" w:hAnsiTheme="minorEastAsia" w:eastAsiaTheme="minorEastAsia"/>
          <w:b/>
          <w:bCs/>
          <w:color w:val="000000" w:themeColor="text1"/>
          <w:szCs w:val="21"/>
        </w:rPr>
        <w:t>图表</w:t>
      </w:r>
      <w:r>
        <w:rPr>
          <w:rFonts w:hint="eastAsia" w:cs="仿宋_GB2312" w:asciiTheme="minorEastAsia" w:hAnsiTheme="minorEastAsia" w:eastAsiaTheme="minorEastAsia"/>
          <w:b/>
          <w:bCs/>
          <w:color w:val="000000" w:themeColor="text1"/>
          <w:szCs w:val="21"/>
          <w:lang w:val="en-US" w:eastAsia="zh-CN"/>
        </w:rPr>
        <w:t>8</w:t>
      </w:r>
      <w:r>
        <w:rPr>
          <w:rFonts w:hint="eastAsia" w:cs="仿宋_GB2312" w:asciiTheme="minorEastAsia" w:hAnsiTheme="minorEastAsia" w:eastAsiaTheme="minorEastAsia"/>
          <w:b/>
          <w:bCs/>
          <w:color w:val="000000" w:themeColor="text1"/>
          <w:szCs w:val="21"/>
        </w:rPr>
        <w:t xml:space="preserve">  产品</w:t>
      </w:r>
      <w:r>
        <w:rPr>
          <w:rFonts w:hint="eastAsia" w:cs="仿宋_GB2312" w:asciiTheme="minorEastAsia" w:hAnsiTheme="minorEastAsia" w:eastAsiaTheme="minorEastAsia"/>
          <w:b/>
          <w:bCs/>
          <w:color w:val="000000" w:themeColor="text1"/>
          <w:szCs w:val="21"/>
          <w:lang w:val="en-US" w:eastAsia="zh-CN"/>
        </w:rPr>
        <w:t>认证证书</w:t>
      </w:r>
    </w:p>
    <w:p w14:paraId="07A7F8A1">
      <w:pPr>
        <w:spacing w:line="360" w:lineRule="auto"/>
        <w:ind w:firstLine="422" w:firstLineChars="200"/>
        <w:jc w:val="center"/>
        <w:rPr>
          <w:rFonts w:hint="default" w:cs="仿宋_GB2312" w:asciiTheme="minorEastAsia" w:hAnsiTheme="minorEastAsia" w:eastAsiaTheme="minorEastAsia"/>
          <w:b/>
          <w:bCs/>
          <w:color w:val="000000" w:themeColor="text1"/>
          <w:szCs w:val="21"/>
          <w:lang w:val="en-US" w:eastAsia="zh-CN"/>
        </w:rPr>
      </w:pPr>
      <w:r>
        <w:rPr>
          <w:rFonts w:hint="default" w:cs="仿宋_GB2312" w:asciiTheme="minorEastAsia" w:hAnsiTheme="minorEastAsia" w:eastAsiaTheme="minorEastAsia"/>
          <w:b/>
          <w:bCs/>
          <w:color w:val="000000" w:themeColor="text1"/>
          <w:szCs w:val="21"/>
          <w:lang w:val="en-US" w:eastAsia="zh-CN"/>
        </w:rPr>
        <w:drawing>
          <wp:inline distT="0" distB="0" distL="114300" distR="114300">
            <wp:extent cx="3035300" cy="4267200"/>
            <wp:effectExtent l="0" t="0" r="0" b="0"/>
            <wp:docPr id="6" name="图片 6" descr="172472070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24720705114"/>
                    <pic:cNvPicPr>
                      <a:picLocks noChangeAspect="1"/>
                    </pic:cNvPicPr>
                  </pic:nvPicPr>
                  <pic:blipFill>
                    <a:blip r:embed="rId13"/>
                    <a:stretch>
                      <a:fillRect/>
                    </a:stretch>
                  </pic:blipFill>
                  <pic:spPr>
                    <a:xfrm>
                      <a:off x="0" y="0"/>
                      <a:ext cx="3035300" cy="4267200"/>
                    </a:xfrm>
                    <a:prstGeom prst="rect">
                      <a:avLst/>
                    </a:prstGeom>
                  </pic:spPr>
                </pic:pic>
              </a:graphicData>
            </a:graphic>
          </wp:inline>
        </w:drawing>
      </w:r>
      <w:r>
        <w:rPr>
          <w:rFonts w:hint="default" w:cs="仿宋_GB2312" w:asciiTheme="minorEastAsia" w:hAnsiTheme="minorEastAsia" w:eastAsiaTheme="minorEastAsia"/>
          <w:b/>
          <w:bCs/>
          <w:color w:val="000000" w:themeColor="text1"/>
          <w:szCs w:val="21"/>
          <w:lang w:val="en-US" w:eastAsia="zh-CN"/>
        </w:rPr>
        <w:drawing>
          <wp:inline distT="0" distB="0" distL="114300" distR="114300">
            <wp:extent cx="3105150" cy="4292600"/>
            <wp:effectExtent l="0" t="0" r="6350" b="0"/>
            <wp:docPr id="7" name="图片 7" descr="172472073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24720736271"/>
                    <pic:cNvPicPr>
                      <a:picLocks noChangeAspect="1"/>
                    </pic:cNvPicPr>
                  </pic:nvPicPr>
                  <pic:blipFill>
                    <a:blip r:embed="rId14"/>
                    <a:stretch>
                      <a:fillRect/>
                    </a:stretch>
                  </pic:blipFill>
                  <pic:spPr>
                    <a:xfrm>
                      <a:off x="0" y="0"/>
                      <a:ext cx="3105150" cy="4292600"/>
                    </a:xfrm>
                    <a:prstGeom prst="rect">
                      <a:avLst/>
                    </a:prstGeom>
                  </pic:spPr>
                </pic:pic>
              </a:graphicData>
            </a:graphic>
          </wp:inline>
        </w:drawing>
      </w:r>
    </w:p>
    <w:tbl>
      <w:tblPr>
        <w:tblStyle w:val="24"/>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14:paraId="46B5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5" w:hRule="atLeast"/>
          <w:jc w:val="center"/>
        </w:trPr>
        <w:tc>
          <w:tcPr>
            <w:tcW w:w="4261" w:type="dxa"/>
            <w:tcBorders>
              <w:tl2br w:val="nil"/>
              <w:tr2bl w:val="nil"/>
            </w:tcBorders>
            <w:vAlign w:val="center"/>
          </w:tcPr>
          <w:p w14:paraId="3A8C5E08">
            <w:pPr>
              <w:jc w:val="both"/>
              <w:rPr>
                <w:rFonts w:hint="eastAsia" w:cs="仿宋_GB2312" w:asciiTheme="minorEastAsia" w:hAnsiTheme="minorEastAsia" w:eastAsiaTheme="minorEastAsia"/>
                <w:b/>
                <w:bCs/>
                <w:color w:val="000000" w:themeColor="text1"/>
                <w:szCs w:val="21"/>
                <w:lang w:eastAsia="zh-CN"/>
              </w:rPr>
            </w:pPr>
          </w:p>
        </w:tc>
        <w:tc>
          <w:tcPr>
            <w:tcW w:w="4261" w:type="dxa"/>
            <w:tcBorders>
              <w:tl2br w:val="nil"/>
              <w:tr2bl w:val="nil"/>
            </w:tcBorders>
            <w:vAlign w:val="center"/>
          </w:tcPr>
          <w:p w14:paraId="1C32361D">
            <w:pPr>
              <w:jc w:val="both"/>
              <w:rPr>
                <w:rFonts w:hint="eastAsia" w:cs="仿宋_GB2312" w:asciiTheme="minorEastAsia" w:hAnsiTheme="minorEastAsia" w:eastAsiaTheme="minorEastAsia"/>
                <w:b/>
                <w:bCs/>
                <w:color w:val="000000" w:themeColor="text1"/>
                <w:szCs w:val="21"/>
                <w:lang w:eastAsia="zh-CN"/>
              </w:rPr>
            </w:pPr>
          </w:p>
        </w:tc>
      </w:tr>
      <w:tr w14:paraId="55B9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5" w:hRule="atLeast"/>
          <w:jc w:val="center"/>
        </w:trPr>
        <w:tc>
          <w:tcPr>
            <w:tcW w:w="4261" w:type="dxa"/>
            <w:tcBorders>
              <w:tl2br w:val="nil"/>
              <w:tr2bl w:val="nil"/>
            </w:tcBorders>
            <w:vAlign w:val="center"/>
          </w:tcPr>
          <w:p w14:paraId="76314D91">
            <w:pPr>
              <w:jc w:val="both"/>
              <w:rPr>
                <w:rFonts w:hint="eastAsia" w:cs="仿宋_GB2312" w:asciiTheme="minorEastAsia" w:hAnsiTheme="minorEastAsia" w:eastAsiaTheme="minorEastAsia"/>
                <w:b/>
                <w:bCs/>
                <w:color w:val="000000" w:themeColor="text1"/>
                <w:szCs w:val="21"/>
                <w:lang w:eastAsia="zh-CN"/>
              </w:rPr>
            </w:pPr>
            <w:bookmarkStart w:id="35" w:name="_Toc14828"/>
          </w:p>
        </w:tc>
        <w:tc>
          <w:tcPr>
            <w:tcW w:w="4261" w:type="dxa"/>
            <w:tcBorders>
              <w:tl2br w:val="nil"/>
              <w:tr2bl w:val="nil"/>
            </w:tcBorders>
            <w:vAlign w:val="center"/>
          </w:tcPr>
          <w:p w14:paraId="4DD242B4">
            <w:pPr>
              <w:jc w:val="center"/>
              <w:rPr>
                <w:rFonts w:hint="eastAsia" w:cs="仿宋_GB2312" w:asciiTheme="minorEastAsia" w:hAnsiTheme="minorEastAsia" w:eastAsiaTheme="minorEastAsia"/>
                <w:b/>
                <w:bCs/>
                <w:color w:val="000000" w:themeColor="text1"/>
                <w:szCs w:val="21"/>
                <w:lang w:eastAsia="zh-CN"/>
              </w:rPr>
            </w:pPr>
          </w:p>
        </w:tc>
      </w:tr>
      <w:tr w14:paraId="648D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4261" w:type="dxa"/>
            <w:tcBorders>
              <w:tl2br w:val="nil"/>
              <w:tr2bl w:val="nil"/>
            </w:tcBorders>
            <w:vAlign w:val="center"/>
          </w:tcPr>
          <w:p w14:paraId="4006DAD7">
            <w:pPr>
              <w:jc w:val="both"/>
              <w:rPr>
                <w:rFonts w:hint="eastAsia" w:cs="仿宋_GB2312" w:asciiTheme="minorEastAsia" w:hAnsiTheme="minorEastAsia" w:eastAsiaTheme="minorEastAsia"/>
                <w:b/>
                <w:bCs/>
                <w:color w:val="000000" w:themeColor="text1"/>
                <w:szCs w:val="21"/>
                <w:lang w:eastAsia="zh-CN"/>
              </w:rPr>
            </w:pPr>
          </w:p>
        </w:tc>
        <w:tc>
          <w:tcPr>
            <w:tcW w:w="4261" w:type="dxa"/>
            <w:tcBorders>
              <w:tl2br w:val="nil"/>
              <w:tr2bl w:val="nil"/>
            </w:tcBorders>
            <w:vAlign w:val="center"/>
          </w:tcPr>
          <w:p w14:paraId="458E4F45">
            <w:pPr>
              <w:jc w:val="center"/>
              <w:rPr>
                <w:rFonts w:hint="eastAsia" w:cs="仿宋_GB2312" w:asciiTheme="minorEastAsia" w:hAnsiTheme="minorEastAsia" w:eastAsiaTheme="minorEastAsia"/>
                <w:b/>
                <w:bCs/>
                <w:color w:val="000000" w:themeColor="text1"/>
                <w:szCs w:val="21"/>
                <w:lang w:eastAsia="zh-CN"/>
              </w:rPr>
            </w:pPr>
          </w:p>
        </w:tc>
      </w:tr>
    </w:tbl>
    <w:p w14:paraId="38ADBC5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outlineLvl w:val="1"/>
        <w:rPr>
          <w:rFonts w:hint="eastAsia" w:cs="仿宋_GB2312" w:asciiTheme="minorEastAsia" w:hAnsiTheme="minorEastAsia" w:eastAsiaTheme="minorEastAsia"/>
          <w:b/>
          <w:bCs/>
          <w:color w:val="000000" w:themeColor="text1"/>
          <w:sz w:val="24"/>
        </w:rPr>
      </w:pPr>
    </w:p>
    <w:p w14:paraId="1AA1B58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outlineLvl w:val="1"/>
        <w:rPr>
          <w:rFonts w:cs="仿宋_GB2312" w:asciiTheme="minorEastAsia" w:hAnsiTheme="minorEastAsia" w:eastAsiaTheme="minorEastAsia"/>
          <w:color w:val="000000" w:themeColor="text1"/>
          <w:sz w:val="24"/>
        </w:rPr>
      </w:pPr>
      <w:r>
        <w:rPr>
          <w:rFonts w:hint="eastAsia" w:cs="仿宋_GB2312" w:asciiTheme="minorEastAsia" w:hAnsiTheme="minorEastAsia" w:eastAsiaTheme="minorEastAsia"/>
          <w:b/>
          <w:bCs/>
          <w:color w:val="000000" w:themeColor="text1"/>
          <w:sz w:val="24"/>
        </w:rPr>
        <w:t>（二）产品售后责任</w:t>
      </w:r>
      <w:bookmarkEnd w:id="35"/>
    </w:p>
    <w:p w14:paraId="295605A6">
      <w:pPr>
        <w:spacing w:line="312" w:lineRule="auto"/>
        <w:ind w:firstLine="420" w:firstLineChars="200"/>
        <w:rPr>
          <w:rFonts w:cs="仿宋_GB2312" w:asciiTheme="minorEastAsia" w:hAnsiTheme="minorEastAsia" w:eastAsiaTheme="minorEastAsia"/>
          <w:color w:val="000000" w:themeColor="text1"/>
          <w:szCs w:val="21"/>
        </w:rPr>
      </w:pPr>
      <w:r>
        <w:rPr>
          <w:rFonts w:hint="eastAsia" w:ascii="宋体" w:hAnsi="宋体" w:cs="宋体"/>
          <w:szCs w:val="21"/>
        </w:rPr>
        <w:t>公司一直致力于售后服务网络建设，提高客户满意度，并一直将售后服务网络建设放在战略性高度，明确提出了“诚实、诚恳、诚信”的经营信条、“质量第一、信誉至上、以人为本、开拓创新”的经营宗旨和“</w:t>
      </w:r>
      <w:r>
        <w:rPr>
          <w:rFonts w:hint="eastAsia" w:ascii="宋体" w:hAnsi="宋体" w:cs="宋体"/>
          <w:szCs w:val="21"/>
          <w:lang w:eastAsia="zh-CN"/>
        </w:rPr>
        <w:t>科学管理，提供顾客满意</w:t>
      </w:r>
      <w:r>
        <w:rPr>
          <w:rFonts w:hint="eastAsia" w:ascii="宋体" w:hAnsi="宋体" w:cs="宋体"/>
          <w:szCs w:val="21"/>
        </w:rPr>
        <w:t>”的质量方针。公司编写了《</w:t>
      </w:r>
      <w:r>
        <w:rPr>
          <w:rFonts w:hint="eastAsia" w:ascii="宋体" w:hAnsi="宋体" w:cs="宋体"/>
          <w:szCs w:val="21"/>
          <w:lang w:eastAsia="zh-CN"/>
        </w:rPr>
        <w:t>售后服务承诺函</w:t>
      </w:r>
      <w:r>
        <w:rPr>
          <w:rFonts w:hint="eastAsia" w:ascii="宋体" w:hAnsi="宋体" w:cs="宋体"/>
          <w:szCs w:val="21"/>
        </w:rPr>
        <w:t>》，并将它作为今后营销和售后服务活动中必须遵守的规范，完善售前、售中和售后服务，推进客户满意度。公司还逐步完善了“三包”制度、“缺陷产品召回制度”等，是用户买的放心，用的安心。</w:t>
      </w:r>
      <w:r>
        <w:rPr>
          <w:rFonts w:hint="eastAsia" w:cs="仿宋_GB2312" w:asciiTheme="minorEastAsia" w:hAnsiTheme="minorEastAsia" w:eastAsiaTheme="minorEastAsia"/>
          <w:color w:val="000000" w:themeColor="text1"/>
          <w:szCs w:val="21"/>
        </w:rPr>
        <w:t>公司为售出的产品购买了产品责任保险。</w:t>
      </w:r>
    </w:p>
    <w:p w14:paraId="76F50EFF">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同时，公司</w:t>
      </w:r>
      <w:r>
        <w:rPr>
          <w:rFonts w:hint="eastAsia" w:cs="仿宋_GB2312" w:asciiTheme="minorEastAsia" w:hAnsiTheme="minorEastAsia" w:eastAsiaTheme="minorEastAsia"/>
          <w:color w:val="000000" w:themeColor="text1"/>
          <w:szCs w:val="21"/>
          <w:lang w:eastAsia="zh-CN"/>
        </w:rPr>
        <w:t>技质部</w:t>
      </w:r>
      <w:r>
        <w:rPr>
          <w:rFonts w:hint="eastAsia" w:cs="仿宋_GB2312" w:asciiTheme="minorEastAsia" w:hAnsiTheme="minorEastAsia" w:eastAsiaTheme="minorEastAsia"/>
          <w:color w:val="000000" w:themeColor="text1"/>
          <w:szCs w:val="21"/>
        </w:rPr>
        <w:t>对客诉信息定期监测，对市场中重复发生及影响客户满意度和产品调试的问题进行集中收集，并加以分析，形成报告。定期组织内部各部门召开产品质量会议，对重大产品质量问题进行攻坚改善，消除质量风险，提升产品质量满意度。</w:t>
      </w:r>
    </w:p>
    <w:p w14:paraId="283DF0C1">
      <w:pPr>
        <w:spacing w:line="360" w:lineRule="auto"/>
        <w:ind w:firstLine="482" w:firstLineChars="200"/>
        <w:outlineLvl w:val="1"/>
        <w:rPr>
          <w:rFonts w:cs="仿宋_GB2312" w:asciiTheme="minorEastAsia" w:hAnsiTheme="minorEastAsia" w:eastAsiaTheme="minorEastAsia"/>
          <w:b/>
          <w:bCs/>
          <w:color w:val="000000" w:themeColor="text1"/>
          <w:sz w:val="24"/>
        </w:rPr>
      </w:pPr>
      <w:bookmarkStart w:id="36" w:name="_Toc2788"/>
      <w:r>
        <w:rPr>
          <w:rFonts w:hint="eastAsia" w:cs="仿宋_GB2312" w:asciiTheme="minorEastAsia" w:hAnsiTheme="minorEastAsia" w:eastAsiaTheme="minorEastAsia"/>
          <w:b/>
          <w:bCs/>
          <w:color w:val="000000" w:themeColor="text1"/>
          <w:sz w:val="24"/>
        </w:rPr>
        <w:t>（三）企业社会责任</w:t>
      </w:r>
      <w:bookmarkEnd w:id="36"/>
    </w:p>
    <w:p w14:paraId="1822979C">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在企业不断发展的同时积极履行公共责任、公民义务及恪守道德规范。在公共责任方面，公司把环境保护和员工职业健康安全及减少能源消耗作为工作中的重点，积极创新，持续改进，取得了显著成果；在品德行为方面，公司提出了“培养和成长”的人才观，并兼顾顾客方、公司员工、政府等相关方的利益；在公益支持方面，高层领导率先垂范，员工积极参加，积极回报社会。</w:t>
      </w:r>
    </w:p>
    <w:p w14:paraId="739C18E0">
      <w:pPr>
        <w:spacing w:line="312" w:lineRule="auto"/>
        <w:ind w:firstLine="422" w:firstLineChars="200"/>
        <w:rPr>
          <w:rFonts w:cs="仿宋_GB2312" w:asciiTheme="minorEastAsia" w:hAnsiTheme="minorEastAsia" w:eastAsiaTheme="minorEastAsia"/>
          <w:b/>
          <w:bCs/>
          <w:color w:val="000000" w:themeColor="text1"/>
          <w:szCs w:val="21"/>
        </w:rPr>
      </w:pPr>
      <w:bookmarkStart w:id="37" w:name="_Toc388485345"/>
      <w:bookmarkStart w:id="38" w:name="_Toc388490009"/>
      <w:bookmarkStart w:id="39" w:name="_Toc388485126"/>
      <w:bookmarkStart w:id="40" w:name="_Toc2959"/>
      <w:bookmarkStart w:id="41" w:name="_Toc388489884"/>
      <w:bookmarkStart w:id="42" w:name="_Toc420361183"/>
      <w:bookmarkStart w:id="43" w:name="_Toc388479240"/>
      <w:bookmarkStart w:id="44" w:name="_Toc270914909"/>
      <w:bookmarkStart w:id="45" w:name="_Toc388480989"/>
      <w:bookmarkStart w:id="46" w:name="_Toc269406197"/>
      <w:bookmarkStart w:id="47" w:name="_Toc420614491"/>
      <w:r>
        <w:rPr>
          <w:rFonts w:hint="eastAsia" w:cs="仿宋_GB2312" w:asciiTheme="minorEastAsia" w:hAnsiTheme="minorEastAsia" w:eastAsiaTheme="minorEastAsia"/>
          <w:b/>
          <w:bCs/>
          <w:color w:val="000000" w:themeColor="text1"/>
          <w:szCs w:val="21"/>
        </w:rPr>
        <w:t>1、公共责任</w:t>
      </w:r>
      <w:bookmarkEnd w:id="37"/>
      <w:bookmarkEnd w:id="38"/>
      <w:bookmarkEnd w:id="39"/>
      <w:bookmarkEnd w:id="40"/>
      <w:bookmarkEnd w:id="41"/>
      <w:bookmarkEnd w:id="42"/>
      <w:bookmarkEnd w:id="43"/>
      <w:bookmarkEnd w:id="44"/>
      <w:bookmarkEnd w:id="45"/>
      <w:bookmarkEnd w:id="46"/>
      <w:bookmarkEnd w:id="47"/>
    </w:p>
    <w:p w14:paraId="73DFCDA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谋求企业与环境的和谐发展，在取得合理利润与经济效益之下，积极投入先进设备和技术。通过对公司在企业运营中可能给社会造成的危害影响进行风险识别，并严格遵照各种相关的法律和法规，采取各种有效的治理措施，使之达到法律法规要求，维护社会公共利益。</w:t>
      </w:r>
    </w:p>
    <w:p w14:paraId="0D188CD5">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公司产品及生产、运营过程对环境污染、社会风险不良影响较小，但公司仍非常重视环境影响控制，严格贯彻国家相关法律法规，建立和实施了环境管理体系和职业健康安全管理体系，制定并实施了</w:t>
      </w:r>
      <w:r>
        <w:rPr>
          <w:rFonts w:hint="eastAsia" w:cs="仿宋_GB2312" w:asciiTheme="minorEastAsia" w:hAnsiTheme="minorEastAsia" w:eastAsiaTheme="minorEastAsia"/>
          <w:color w:val="000000" w:themeColor="text1"/>
          <w:szCs w:val="21"/>
          <w:highlight w:val="none"/>
        </w:rPr>
        <w:t>《应急预案》</w:t>
      </w:r>
      <w:r>
        <w:rPr>
          <w:rFonts w:hint="eastAsia" w:cs="仿宋_GB2312" w:asciiTheme="minorEastAsia" w:hAnsiTheme="minorEastAsia" w:eastAsiaTheme="minorEastAsia"/>
          <w:color w:val="000000" w:themeColor="text1"/>
          <w:szCs w:val="21"/>
        </w:rPr>
        <w:t>，每年组织签订安全管理目标责任书；建立安全预警机制和安全事故应急处理机制；每年定期开展消防演练、紧急集合演练活动，实现环境和安卫目标；同时公司制定了节能管理制度，制定资源回收利用制度，对可利用资源进行回收利用。公司环境、安全、能源消耗等测量指标、方法、控制过程见下表。</w:t>
      </w:r>
    </w:p>
    <w:p w14:paraId="3F1188BF">
      <w:pPr>
        <w:spacing w:beforeLines="50"/>
        <w:jc w:val="center"/>
        <w:rPr>
          <w:rFonts w:hint="eastAsia" w:cs="仿宋_GB2312" w:asciiTheme="minorEastAsia" w:hAnsiTheme="minorEastAsia" w:eastAsiaTheme="minorEastAsia"/>
          <w:b/>
          <w:bCs/>
          <w:color w:val="000000" w:themeColor="text1"/>
          <w:szCs w:val="21"/>
        </w:rPr>
      </w:pPr>
      <w:r>
        <w:rPr>
          <w:rFonts w:hint="eastAsia" w:cs="仿宋_GB2312" w:asciiTheme="minorEastAsia" w:hAnsiTheme="minorEastAsia" w:eastAsiaTheme="minorEastAsia"/>
          <w:b/>
          <w:bCs/>
          <w:color w:val="000000" w:themeColor="text1"/>
          <w:szCs w:val="21"/>
        </w:rPr>
        <w:t>图表</w:t>
      </w:r>
      <w:r>
        <w:rPr>
          <w:rFonts w:hint="eastAsia" w:cs="仿宋_GB2312" w:asciiTheme="minorEastAsia" w:hAnsiTheme="minorEastAsia" w:eastAsiaTheme="minorEastAsia"/>
          <w:b/>
          <w:bCs/>
          <w:color w:val="000000" w:themeColor="text1"/>
          <w:szCs w:val="21"/>
          <w:lang w:val="en-US" w:eastAsia="zh-CN"/>
        </w:rPr>
        <w:t>9</w:t>
      </w:r>
      <w:r>
        <w:rPr>
          <w:rFonts w:hint="eastAsia" w:cs="仿宋_GB2312" w:asciiTheme="minorEastAsia" w:hAnsiTheme="minorEastAsia" w:eastAsiaTheme="minorEastAsia"/>
          <w:b/>
          <w:bCs/>
          <w:color w:val="000000" w:themeColor="text1"/>
          <w:szCs w:val="21"/>
        </w:rPr>
        <w:t xml:space="preserve"> 公共责任指标测量与控制方法</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56"/>
        <w:gridCol w:w="1475"/>
        <w:gridCol w:w="4066"/>
        <w:gridCol w:w="1803"/>
      </w:tblGrid>
      <w:tr w14:paraId="1D105E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3" w:hRule="atLeast"/>
          <w:tblHeader/>
          <w:jc w:val="center"/>
        </w:trPr>
        <w:tc>
          <w:tcPr>
            <w:tcW w:w="1556" w:type="dxa"/>
            <w:tcBorders>
              <w:bottom w:val="single" w:color="auto" w:sz="6" w:space="0"/>
            </w:tcBorders>
            <w:shd w:val="clear" w:color="auto" w:fill="DCE6F2" w:themeFill="accent1" w:themeFillTint="32"/>
            <w:tcMar>
              <w:left w:w="28" w:type="dxa"/>
              <w:right w:w="28" w:type="dxa"/>
            </w:tcMar>
            <w:vAlign w:val="center"/>
          </w:tcPr>
          <w:p w14:paraId="70E1ED3E">
            <w:pPr>
              <w:pStyle w:val="113"/>
              <w:spacing w:line="240" w:lineRule="auto"/>
              <w:rPr>
                <w:color w:val="auto"/>
                <w:sz w:val="20"/>
                <w:szCs w:val="20"/>
              </w:rPr>
            </w:pPr>
            <w:r>
              <w:rPr>
                <w:rFonts w:hint="eastAsia"/>
                <w:color w:val="auto"/>
                <w:sz w:val="20"/>
                <w:szCs w:val="20"/>
              </w:rPr>
              <w:t>关键过程</w:t>
            </w:r>
          </w:p>
        </w:tc>
        <w:tc>
          <w:tcPr>
            <w:tcW w:w="1475" w:type="dxa"/>
            <w:tcBorders>
              <w:bottom w:val="single" w:color="auto" w:sz="6" w:space="0"/>
            </w:tcBorders>
            <w:shd w:val="clear" w:color="auto" w:fill="DCE6F2" w:themeFill="accent1" w:themeFillTint="32"/>
            <w:tcMar>
              <w:left w:w="28" w:type="dxa"/>
              <w:right w:w="28" w:type="dxa"/>
            </w:tcMar>
            <w:vAlign w:val="center"/>
          </w:tcPr>
          <w:p w14:paraId="6836F10A">
            <w:pPr>
              <w:pStyle w:val="113"/>
              <w:spacing w:line="240" w:lineRule="auto"/>
              <w:rPr>
                <w:color w:val="auto"/>
                <w:sz w:val="20"/>
                <w:szCs w:val="20"/>
              </w:rPr>
            </w:pPr>
            <w:r>
              <w:rPr>
                <w:rFonts w:hint="eastAsia"/>
                <w:color w:val="auto"/>
                <w:sz w:val="20"/>
                <w:szCs w:val="20"/>
              </w:rPr>
              <w:t>重大环境</w:t>
            </w:r>
            <w:r>
              <w:rPr>
                <w:color w:val="auto"/>
                <w:sz w:val="20"/>
                <w:szCs w:val="20"/>
              </w:rPr>
              <w:t>因素/</w:t>
            </w:r>
            <w:r>
              <w:rPr>
                <w:rFonts w:hint="eastAsia"/>
                <w:color w:val="auto"/>
                <w:sz w:val="20"/>
                <w:szCs w:val="20"/>
              </w:rPr>
              <w:t>危险</w:t>
            </w:r>
            <w:r>
              <w:rPr>
                <w:color w:val="auto"/>
                <w:sz w:val="20"/>
                <w:szCs w:val="20"/>
              </w:rPr>
              <w:t>源</w:t>
            </w:r>
          </w:p>
        </w:tc>
        <w:tc>
          <w:tcPr>
            <w:tcW w:w="4066" w:type="dxa"/>
            <w:tcBorders>
              <w:left w:val="single" w:color="auto" w:sz="4" w:space="0"/>
              <w:bottom w:val="single" w:color="auto" w:sz="6" w:space="0"/>
            </w:tcBorders>
            <w:shd w:val="clear" w:color="auto" w:fill="DCE6F2" w:themeFill="accent1" w:themeFillTint="32"/>
            <w:vAlign w:val="center"/>
          </w:tcPr>
          <w:p w14:paraId="2478B846">
            <w:pPr>
              <w:pStyle w:val="113"/>
              <w:spacing w:line="240" w:lineRule="auto"/>
              <w:rPr>
                <w:color w:val="auto"/>
                <w:sz w:val="20"/>
                <w:szCs w:val="20"/>
              </w:rPr>
            </w:pPr>
            <w:r>
              <w:rPr>
                <w:rFonts w:hint="eastAsia"/>
                <w:color w:val="auto"/>
                <w:sz w:val="20"/>
                <w:szCs w:val="20"/>
              </w:rPr>
              <w:t>内控指标</w:t>
            </w:r>
          </w:p>
        </w:tc>
        <w:tc>
          <w:tcPr>
            <w:tcW w:w="1803" w:type="dxa"/>
            <w:tcBorders>
              <w:bottom w:val="single" w:color="auto" w:sz="6" w:space="0"/>
            </w:tcBorders>
            <w:shd w:val="clear" w:color="auto" w:fill="DCE6F2" w:themeFill="accent1" w:themeFillTint="32"/>
            <w:tcMar>
              <w:left w:w="28" w:type="dxa"/>
              <w:right w:w="28" w:type="dxa"/>
            </w:tcMar>
            <w:vAlign w:val="center"/>
          </w:tcPr>
          <w:p w14:paraId="31C30C1D">
            <w:pPr>
              <w:pStyle w:val="113"/>
              <w:spacing w:line="240" w:lineRule="auto"/>
              <w:rPr>
                <w:color w:val="auto"/>
                <w:sz w:val="20"/>
                <w:szCs w:val="20"/>
              </w:rPr>
            </w:pPr>
            <w:r>
              <w:rPr>
                <w:rFonts w:hint="eastAsia"/>
                <w:color w:val="auto"/>
                <w:sz w:val="20"/>
                <w:szCs w:val="20"/>
              </w:rPr>
              <w:t>测量方法</w:t>
            </w:r>
          </w:p>
        </w:tc>
      </w:tr>
      <w:tr w14:paraId="05EBD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tcBorders>
              <w:top w:val="single" w:color="auto" w:sz="6" w:space="0"/>
            </w:tcBorders>
            <w:tcMar>
              <w:left w:w="28" w:type="dxa"/>
              <w:right w:w="28" w:type="dxa"/>
            </w:tcMar>
            <w:vAlign w:val="center"/>
          </w:tcPr>
          <w:p w14:paraId="1485C187">
            <w:pPr>
              <w:pStyle w:val="111"/>
              <w:spacing w:line="240" w:lineRule="auto"/>
              <w:jc w:val="center"/>
              <w:rPr>
                <w:sz w:val="20"/>
                <w:szCs w:val="20"/>
              </w:rPr>
            </w:pPr>
            <w:r>
              <w:rPr>
                <w:rFonts w:hint="eastAsia"/>
                <w:sz w:val="20"/>
                <w:szCs w:val="20"/>
              </w:rPr>
              <w:t>产品质量</w:t>
            </w:r>
          </w:p>
        </w:tc>
        <w:tc>
          <w:tcPr>
            <w:tcW w:w="1475" w:type="dxa"/>
            <w:tcBorders>
              <w:top w:val="single" w:color="auto" w:sz="6" w:space="0"/>
            </w:tcBorders>
            <w:tcMar>
              <w:left w:w="28" w:type="dxa"/>
              <w:right w:w="28" w:type="dxa"/>
            </w:tcMar>
            <w:vAlign w:val="center"/>
          </w:tcPr>
          <w:p w14:paraId="218D17BF">
            <w:pPr>
              <w:pStyle w:val="111"/>
              <w:spacing w:line="240" w:lineRule="auto"/>
              <w:jc w:val="center"/>
              <w:rPr>
                <w:sz w:val="20"/>
                <w:szCs w:val="20"/>
              </w:rPr>
            </w:pPr>
            <w:r>
              <w:rPr>
                <w:rFonts w:hint="eastAsia"/>
                <w:sz w:val="20"/>
                <w:szCs w:val="20"/>
              </w:rPr>
              <w:t>重要原材料质量控制</w:t>
            </w:r>
          </w:p>
          <w:p w14:paraId="2679D955">
            <w:pPr>
              <w:pStyle w:val="111"/>
              <w:spacing w:line="240" w:lineRule="auto"/>
              <w:jc w:val="center"/>
              <w:rPr>
                <w:sz w:val="20"/>
                <w:szCs w:val="20"/>
              </w:rPr>
            </w:pPr>
            <w:r>
              <w:rPr>
                <w:rFonts w:hint="eastAsia"/>
                <w:sz w:val="20"/>
                <w:szCs w:val="20"/>
              </w:rPr>
              <w:t>关键工序控制</w:t>
            </w:r>
          </w:p>
        </w:tc>
        <w:tc>
          <w:tcPr>
            <w:tcW w:w="4066" w:type="dxa"/>
            <w:tcBorders>
              <w:top w:val="single" w:color="auto" w:sz="6" w:space="0"/>
              <w:left w:val="single" w:color="auto" w:sz="4" w:space="0"/>
            </w:tcBorders>
            <w:vAlign w:val="center"/>
          </w:tcPr>
          <w:p w14:paraId="6CA12FBF">
            <w:pPr>
              <w:pStyle w:val="111"/>
              <w:spacing w:line="240" w:lineRule="auto"/>
              <w:rPr>
                <w:rFonts w:ascii="Times New Roman" w:hAnsi="Times New Roman" w:eastAsia="宋体" w:cs="宋体"/>
                <w:color w:val="000000"/>
                <w:kern w:val="0"/>
                <w:sz w:val="20"/>
                <w:szCs w:val="20"/>
                <w:lang w:val="en-US" w:eastAsia="zh-CN" w:bidi="ar-SA"/>
              </w:rPr>
            </w:pPr>
            <w:r>
              <w:rPr>
                <w:rFonts w:hint="eastAsia" w:cs="宋体"/>
                <w:sz w:val="20"/>
                <w:szCs w:val="20"/>
              </w:rPr>
              <w:t>严格执行国家与地方标准，所有产品质量均需达到国家标准</w:t>
            </w:r>
          </w:p>
        </w:tc>
        <w:tc>
          <w:tcPr>
            <w:tcW w:w="1803" w:type="dxa"/>
            <w:tcBorders>
              <w:top w:val="single" w:color="auto" w:sz="6" w:space="0"/>
            </w:tcBorders>
            <w:tcMar>
              <w:left w:w="28" w:type="dxa"/>
              <w:right w:w="28" w:type="dxa"/>
            </w:tcMar>
            <w:vAlign w:val="center"/>
          </w:tcPr>
          <w:p w14:paraId="3457D8FE">
            <w:pPr>
              <w:pStyle w:val="111"/>
              <w:spacing w:line="240" w:lineRule="auto"/>
              <w:rPr>
                <w:rFonts w:ascii="Times New Roman" w:hAnsi="Times New Roman" w:eastAsia="宋体" w:cs="宋体"/>
                <w:color w:val="000000"/>
                <w:kern w:val="0"/>
                <w:sz w:val="20"/>
                <w:szCs w:val="20"/>
                <w:lang w:val="en-US" w:eastAsia="zh-CN" w:bidi="ar-SA"/>
              </w:rPr>
            </w:pPr>
            <w:r>
              <w:rPr>
                <w:rFonts w:hint="eastAsia" w:cs="宋体"/>
                <w:sz w:val="20"/>
                <w:szCs w:val="20"/>
              </w:rPr>
              <w:t>定期组织内部和外部检测。</w:t>
            </w:r>
          </w:p>
        </w:tc>
      </w:tr>
      <w:tr w14:paraId="156F2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vMerge w:val="restart"/>
            <w:tcBorders>
              <w:top w:val="single" w:color="auto" w:sz="6" w:space="0"/>
            </w:tcBorders>
            <w:tcMar>
              <w:left w:w="28" w:type="dxa"/>
              <w:right w:w="28" w:type="dxa"/>
            </w:tcMar>
            <w:vAlign w:val="center"/>
          </w:tcPr>
          <w:p w14:paraId="429ABBB2">
            <w:pPr>
              <w:pStyle w:val="111"/>
              <w:spacing w:line="240" w:lineRule="auto"/>
              <w:jc w:val="center"/>
              <w:rPr>
                <w:sz w:val="20"/>
                <w:szCs w:val="20"/>
              </w:rPr>
            </w:pPr>
            <w:r>
              <w:rPr>
                <w:rFonts w:hint="eastAsia"/>
                <w:sz w:val="20"/>
                <w:szCs w:val="20"/>
              </w:rPr>
              <w:t>环境</w:t>
            </w:r>
            <w:r>
              <w:rPr>
                <w:sz w:val="20"/>
                <w:szCs w:val="20"/>
              </w:rPr>
              <w:t>保护</w:t>
            </w:r>
          </w:p>
        </w:tc>
        <w:tc>
          <w:tcPr>
            <w:tcW w:w="1475" w:type="dxa"/>
            <w:tcBorders>
              <w:top w:val="single" w:color="auto" w:sz="6" w:space="0"/>
            </w:tcBorders>
            <w:tcMar>
              <w:left w:w="28" w:type="dxa"/>
              <w:right w:w="28" w:type="dxa"/>
            </w:tcMar>
            <w:vAlign w:val="center"/>
          </w:tcPr>
          <w:p w14:paraId="4FE3E7AF">
            <w:pPr>
              <w:pStyle w:val="111"/>
              <w:spacing w:line="240" w:lineRule="auto"/>
              <w:jc w:val="center"/>
              <w:rPr>
                <w:sz w:val="20"/>
                <w:szCs w:val="20"/>
              </w:rPr>
            </w:pPr>
            <w:r>
              <w:rPr>
                <w:rFonts w:hint="eastAsia"/>
                <w:sz w:val="20"/>
                <w:szCs w:val="20"/>
              </w:rPr>
              <w:t>噪音</w:t>
            </w:r>
          </w:p>
        </w:tc>
        <w:tc>
          <w:tcPr>
            <w:tcW w:w="4066" w:type="dxa"/>
            <w:tcBorders>
              <w:top w:val="single" w:color="auto" w:sz="6" w:space="0"/>
              <w:left w:val="single" w:color="auto" w:sz="4" w:space="0"/>
            </w:tcBorders>
            <w:vAlign w:val="center"/>
          </w:tcPr>
          <w:p w14:paraId="18AB997A">
            <w:pPr>
              <w:pStyle w:val="111"/>
              <w:spacing w:line="240" w:lineRule="auto"/>
              <w:rPr>
                <w:rFonts w:ascii="Times New Roman" w:hAnsi="Times New Roman" w:eastAsia="宋体" w:cs="宋体"/>
                <w:color w:val="000000"/>
                <w:kern w:val="0"/>
                <w:sz w:val="20"/>
                <w:szCs w:val="20"/>
                <w:lang w:val="en-US" w:eastAsia="zh-CN" w:bidi="ar-SA"/>
              </w:rPr>
            </w:pPr>
            <w:r>
              <w:rPr>
                <w:rFonts w:hint="eastAsia" w:ascii="宋体" w:hAnsi="宋体" w:cs="宋体"/>
                <w:sz w:val="20"/>
                <w:szCs w:val="20"/>
              </w:rPr>
              <w:t>厂界噪声排放达到</w:t>
            </w:r>
            <w:r>
              <w:rPr>
                <w:rFonts w:ascii="宋体" w:hAnsi="宋体"/>
                <w:sz w:val="20"/>
                <w:szCs w:val="20"/>
              </w:rPr>
              <w:t>GB12348-2008工业企业厂界噪声</w:t>
            </w:r>
            <w:r>
              <w:rPr>
                <w:rFonts w:hint="eastAsia" w:ascii="宋体" w:hAnsi="宋体"/>
                <w:sz w:val="20"/>
                <w:szCs w:val="20"/>
              </w:rPr>
              <w:t>3类</w:t>
            </w:r>
            <w:r>
              <w:rPr>
                <w:rFonts w:ascii="宋体" w:hAnsi="宋体"/>
                <w:sz w:val="20"/>
                <w:szCs w:val="20"/>
              </w:rPr>
              <w:t>标准</w:t>
            </w:r>
            <w:r>
              <w:rPr>
                <w:rFonts w:hint="eastAsia" w:ascii="宋体" w:hAnsi="宋体" w:cs="宋体"/>
                <w:sz w:val="20"/>
                <w:szCs w:val="20"/>
              </w:rPr>
              <w:t>。确保生产现场周界噪声的排放100%达标。</w:t>
            </w:r>
          </w:p>
        </w:tc>
        <w:tc>
          <w:tcPr>
            <w:tcW w:w="1803" w:type="dxa"/>
            <w:tcBorders>
              <w:top w:val="single" w:color="auto" w:sz="6" w:space="0"/>
            </w:tcBorders>
            <w:tcMar>
              <w:left w:w="28" w:type="dxa"/>
              <w:right w:w="28" w:type="dxa"/>
            </w:tcMar>
            <w:vAlign w:val="center"/>
          </w:tcPr>
          <w:p w14:paraId="4B57F71B">
            <w:pPr>
              <w:pStyle w:val="111"/>
              <w:spacing w:line="240" w:lineRule="auto"/>
              <w:rPr>
                <w:rFonts w:ascii="Times New Roman" w:hAnsi="Times New Roman" w:eastAsia="宋体" w:cs="宋体"/>
                <w:color w:val="000000"/>
                <w:kern w:val="0"/>
                <w:sz w:val="20"/>
                <w:szCs w:val="20"/>
                <w:lang w:val="en-US" w:eastAsia="zh-CN" w:bidi="ar-SA"/>
              </w:rPr>
            </w:pPr>
            <w:r>
              <w:rPr>
                <w:rFonts w:ascii="宋体" w:hAnsi="宋体"/>
                <w:sz w:val="20"/>
                <w:szCs w:val="20"/>
              </w:rPr>
              <w:t>对噪声源进行封闭,设备定期保养。</w:t>
            </w:r>
          </w:p>
        </w:tc>
      </w:tr>
      <w:tr w14:paraId="0A67FD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vMerge w:val="continue"/>
            <w:tcBorders>
              <w:top w:val="single" w:color="auto" w:sz="6" w:space="0"/>
            </w:tcBorders>
            <w:tcMar>
              <w:left w:w="28" w:type="dxa"/>
              <w:right w:w="28" w:type="dxa"/>
            </w:tcMar>
            <w:vAlign w:val="center"/>
          </w:tcPr>
          <w:p w14:paraId="3C0C5563">
            <w:pPr>
              <w:pStyle w:val="111"/>
              <w:spacing w:line="240" w:lineRule="auto"/>
              <w:jc w:val="center"/>
              <w:rPr>
                <w:sz w:val="20"/>
                <w:szCs w:val="20"/>
              </w:rPr>
            </w:pPr>
          </w:p>
        </w:tc>
        <w:tc>
          <w:tcPr>
            <w:tcW w:w="1475" w:type="dxa"/>
            <w:tcBorders>
              <w:top w:val="single" w:color="auto" w:sz="6" w:space="0"/>
            </w:tcBorders>
            <w:tcMar>
              <w:left w:w="28" w:type="dxa"/>
              <w:right w:w="28" w:type="dxa"/>
            </w:tcMar>
            <w:vAlign w:val="center"/>
          </w:tcPr>
          <w:p w14:paraId="2B1D0E28">
            <w:pPr>
              <w:pStyle w:val="111"/>
              <w:spacing w:line="240" w:lineRule="auto"/>
              <w:jc w:val="center"/>
              <w:rPr>
                <w:sz w:val="20"/>
                <w:szCs w:val="20"/>
              </w:rPr>
            </w:pPr>
            <w:r>
              <w:rPr>
                <w:rFonts w:hint="eastAsia"/>
                <w:sz w:val="20"/>
                <w:szCs w:val="20"/>
              </w:rPr>
              <w:t>废水</w:t>
            </w:r>
          </w:p>
        </w:tc>
        <w:tc>
          <w:tcPr>
            <w:tcW w:w="4066" w:type="dxa"/>
            <w:tcBorders>
              <w:top w:val="single" w:color="auto" w:sz="6" w:space="0"/>
              <w:left w:val="single" w:color="auto" w:sz="4" w:space="0"/>
            </w:tcBorders>
            <w:vAlign w:val="center"/>
          </w:tcPr>
          <w:p w14:paraId="0D3BBE34">
            <w:pPr>
              <w:pStyle w:val="111"/>
              <w:spacing w:line="240" w:lineRule="auto"/>
              <w:rPr>
                <w:rFonts w:hint="eastAsia" w:ascii="Times New Roman" w:hAnsi="Times New Roman" w:eastAsia="宋体" w:cs="宋体"/>
                <w:color w:val="000000"/>
                <w:kern w:val="0"/>
                <w:sz w:val="20"/>
                <w:szCs w:val="20"/>
                <w:lang w:val="en-US" w:eastAsia="zh-CN" w:bidi="ar-SA"/>
              </w:rPr>
            </w:pPr>
            <w:r>
              <w:rPr>
                <w:rFonts w:hint="eastAsia" w:cs="宋体"/>
                <w:sz w:val="20"/>
                <w:szCs w:val="20"/>
              </w:rPr>
              <w:t>公司不产生工艺废水，只产生生活污水，生活污水经预处理</w:t>
            </w:r>
            <w:r>
              <w:rPr>
                <w:rFonts w:ascii="宋体" w:hAnsi="宋体"/>
                <w:sz w:val="20"/>
                <w:szCs w:val="20"/>
              </w:rPr>
              <w:t>GB8978-1996 污水综合排放三级标准</w:t>
            </w:r>
            <w:r>
              <w:rPr>
                <w:rFonts w:hint="eastAsia" w:ascii="宋体" w:hAnsi="宋体"/>
                <w:sz w:val="20"/>
                <w:szCs w:val="20"/>
              </w:rPr>
              <w:t>。</w:t>
            </w:r>
          </w:p>
        </w:tc>
        <w:tc>
          <w:tcPr>
            <w:tcW w:w="1803" w:type="dxa"/>
            <w:tcBorders>
              <w:top w:val="single" w:color="auto" w:sz="6" w:space="0"/>
            </w:tcBorders>
            <w:tcMar>
              <w:left w:w="28" w:type="dxa"/>
              <w:right w:w="28" w:type="dxa"/>
            </w:tcMar>
            <w:vAlign w:val="center"/>
          </w:tcPr>
          <w:p w14:paraId="646CC16E">
            <w:pPr>
              <w:pStyle w:val="111"/>
              <w:spacing w:line="240" w:lineRule="auto"/>
              <w:jc w:val="center"/>
              <w:rPr>
                <w:rFonts w:ascii="Times New Roman" w:hAnsi="Times New Roman" w:eastAsia="宋体" w:cs="宋体"/>
                <w:color w:val="000000"/>
                <w:kern w:val="0"/>
                <w:sz w:val="20"/>
                <w:szCs w:val="20"/>
                <w:lang w:val="en-US" w:eastAsia="zh-CN" w:bidi="ar-SA"/>
              </w:rPr>
            </w:pPr>
            <w:r>
              <w:rPr>
                <w:rFonts w:hint="eastAsia" w:cs="宋体"/>
                <w:sz w:val="20"/>
                <w:szCs w:val="20"/>
              </w:rPr>
              <w:t>定期监测</w:t>
            </w:r>
          </w:p>
        </w:tc>
      </w:tr>
      <w:tr w14:paraId="417975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1556" w:type="dxa"/>
            <w:vMerge w:val="continue"/>
            <w:tcBorders>
              <w:top w:val="single" w:color="auto" w:sz="6" w:space="0"/>
            </w:tcBorders>
            <w:tcMar>
              <w:left w:w="28" w:type="dxa"/>
              <w:right w:w="28" w:type="dxa"/>
            </w:tcMar>
            <w:vAlign w:val="center"/>
          </w:tcPr>
          <w:p w14:paraId="256F2979">
            <w:pPr>
              <w:pStyle w:val="111"/>
              <w:spacing w:line="240" w:lineRule="auto"/>
              <w:jc w:val="center"/>
              <w:rPr>
                <w:sz w:val="20"/>
                <w:szCs w:val="20"/>
              </w:rPr>
            </w:pPr>
          </w:p>
        </w:tc>
        <w:tc>
          <w:tcPr>
            <w:tcW w:w="1475" w:type="dxa"/>
            <w:tcBorders>
              <w:top w:val="single" w:color="auto" w:sz="6" w:space="0"/>
            </w:tcBorders>
            <w:tcMar>
              <w:left w:w="28" w:type="dxa"/>
              <w:right w:w="28" w:type="dxa"/>
            </w:tcMar>
            <w:vAlign w:val="center"/>
          </w:tcPr>
          <w:p w14:paraId="65E6FDA4">
            <w:pPr>
              <w:pStyle w:val="111"/>
              <w:spacing w:line="240" w:lineRule="auto"/>
              <w:jc w:val="center"/>
              <w:rPr>
                <w:sz w:val="20"/>
                <w:szCs w:val="20"/>
              </w:rPr>
            </w:pPr>
            <w:r>
              <w:rPr>
                <w:rFonts w:hint="eastAsia"/>
                <w:sz w:val="20"/>
                <w:szCs w:val="20"/>
              </w:rPr>
              <w:t>废气</w:t>
            </w:r>
          </w:p>
        </w:tc>
        <w:tc>
          <w:tcPr>
            <w:tcW w:w="4066" w:type="dxa"/>
            <w:tcBorders>
              <w:top w:val="single" w:color="auto" w:sz="6" w:space="0"/>
              <w:left w:val="single" w:color="auto" w:sz="4" w:space="0"/>
            </w:tcBorders>
            <w:vAlign w:val="center"/>
          </w:tcPr>
          <w:p w14:paraId="61DBE301">
            <w:pPr>
              <w:pStyle w:val="111"/>
              <w:spacing w:line="240" w:lineRule="auto"/>
              <w:rPr>
                <w:rFonts w:ascii="宋体" w:hAnsi="宋体" w:eastAsia="宋体" w:cs="宋体"/>
                <w:color w:val="000000"/>
                <w:kern w:val="0"/>
                <w:sz w:val="20"/>
                <w:szCs w:val="20"/>
                <w:lang w:val="en-US" w:eastAsia="zh-CN" w:bidi="ar-SA"/>
              </w:rPr>
            </w:pPr>
            <w:r>
              <w:rPr>
                <w:rFonts w:hint="eastAsia" w:ascii="宋体" w:hAnsi="宋体" w:cs="宋体"/>
                <w:sz w:val="20"/>
                <w:szCs w:val="20"/>
              </w:rPr>
              <w:t>主要控制挤绝缘和挤护套等过程的废气、印字废气，采用集气罩收集、活性炭处理，排放</w:t>
            </w:r>
            <w:r>
              <w:rPr>
                <w:rFonts w:ascii="宋体" w:hAnsi="宋体"/>
                <w:sz w:val="20"/>
                <w:szCs w:val="20"/>
              </w:rPr>
              <w:t>GB</w:t>
            </w:r>
            <w:r>
              <w:rPr>
                <w:rFonts w:hint="eastAsia" w:ascii="宋体" w:hAnsi="宋体"/>
                <w:sz w:val="20"/>
                <w:szCs w:val="20"/>
              </w:rPr>
              <w:t>16297</w:t>
            </w:r>
            <w:r>
              <w:rPr>
                <w:rFonts w:ascii="宋体" w:hAnsi="宋体"/>
                <w:sz w:val="20"/>
                <w:szCs w:val="20"/>
              </w:rPr>
              <w:t xml:space="preserve">-1996 </w:t>
            </w:r>
            <w:r>
              <w:rPr>
                <w:rFonts w:hint="eastAsia" w:ascii="宋体" w:hAnsi="宋体"/>
                <w:sz w:val="20"/>
                <w:szCs w:val="20"/>
              </w:rPr>
              <w:t>大气污染</w:t>
            </w:r>
            <w:r>
              <w:rPr>
                <w:rFonts w:ascii="宋体" w:hAnsi="宋体"/>
                <w:sz w:val="20"/>
                <w:szCs w:val="20"/>
              </w:rPr>
              <w:t>综合排放</w:t>
            </w:r>
            <w:r>
              <w:rPr>
                <w:rFonts w:hint="eastAsia" w:ascii="宋体" w:hAnsi="宋体"/>
                <w:sz w:val="20"/>
                <w:szCs w:val="20"/>
              </w:rPr>
              <w:t>表2 无组织排放监控浓度限值</w:t>
            </w:r>
            <w:r>
              <w:rPr>
                <w:rFonts w:hint="eastAsia" w:ascii="宋体" w:hAnsi="宋体" w:cs="宋体"/>
                <w:sz w:val="20"/>
                <w:szCs w:val="20"/>
              </w:rPr>
              <w:t>和G</w:t>
            </w:r>
            <w:r>
              <w:rPr>
                <w:rFonts w:ascii="宋体" w:hAnsi="宋体" w:cs="宋体"/>
                <w:sz w:val="20"/>
                <w:szCs w:val="20"/>
              </w:rPr>
              <w:t>B31572</w:t>
            </w:r>
            <w:r>
              <w:rPr>
                <w:rFonts w:hint="default" w:ascii="宋体" w:hAnsi="宋体" w:cs="宋体"/>
                <w:sz w:val="20"/>
                <w:szCs w:val="20"/>
                <w:lang w:val="en-US"/>
              </w:rPr>
              <w:t>-2015</w:t>
            </w:r>
            <w:r>
              <w:rPr>
                <w:rFonts w:hint="eastAsia" w:ascii="宋体" w:hAnsi="宋体" w:cs="宋体"/>
                <w:sz w:val="20"/>
                <w:szCs w:val="20"/>
              </w:rPr>
              <w:t>《合成树脂工业污染物排放标准》：PVC≤</w:t>
            </w:r>
            <w:r>
              <w:rPr>
                <w:rFonts w:ascii="宋体" w:hAnsi="宋体" w:cs="宋体"/>
                <w:sz w:val="20"/>
                <w:szCs w:val="20"/>
              </w:rPr>
              <w:t>36mg/m</w:t>
            </w:r>
            <w:r>
              <w:rPr>
                <w:rFonts w:ascii="宋体" w:hAnsi="宋体" w:cs="宋体"/>
                <w:sz w:val="20"/>
                <w:szCs w:val="20"/>
                <w:vertAlign w:val="superscript"/>
              </w:rPr>
              <w:t>3</w:t>
            </w:r>
            <w:r>
              <w:rPr>
                <w:rFonts w:hint="eastAsia" w:ascii="宋体" w:hAnsi="宋体" w:cs="宋体"/>
                <w:sz w:val="20"/>
                <w:szCs w:val="20"/>
              </w:rPr>
              <w:t>，H</w:t>
            </w:r>
            <w:r>
              <w:rPr>
                <w:rFonts w:ascii="宋体" w:hAnsi="宋体" w:cs="宋体"/>
                <w:sz w:val="20"/>
                <w:szCs w:val="20"/>
              </w:rPr>
              <w:t>Cl</w:t>
            </w:r>
            <w:r>
              <w:rPr>
                <w:rFonts w:hint="eastAsia" w:ascii="宋体" w:hAnsi="宋体" w:cs="宋体"/>
                <w:sz w:val="20"/>
                <w:szCs w:val="20"/>
              </w:rPr>
              <w:t>≤</w:t>
            </w:r>
            <w:r>
              <w:rPr>
                <w:rFonts w:ascii="宋体" w:hAnsi="宋体" w:cs="宋体"/>
                <w:sz w:val="20"/>
                <w:szCs w:val="20"/>
              </w:rPr>
              <w:t>100mg/m</w:t>
            </w:r>
            <w:r>
              <w:rPr>
                <w:rFonts w:ascii="宋体" w:hAnsi="宋体" w:cs="宋体"/>
                <w:sz w:val="20"/>
                <w:szCs w:val="20"/>
                <w:vertAlign w:val="superscript"/>
              </w:rPr>
              <w:t>3</w:t>
            </w:r>
            <w:r>
              <w:rPr>
                <w:rFonts w:hint="eastAsia" w:ascii="宋体" w:hAnsi="宋体" w:cs="宋体"/>
                <w:sz w:val="20"/>
                <w:szCs w:val="20"/>
              </w:rPr>
              <w:t>，非甲烷总烃≤</w:t>
            </w:r>
            <w:r>
              <w:rPr>
                <w:rFonts w:ascii="宋体" w:hAnsi="宋体" w:cs="宋体"/>
                <w:sz w:val="20"/>
                <w:szCs w:val="20"/>
              </w:rPr>
              <w:t>100mg/m</w:t>
            </w:r>
            <w:r>
              <w:rPr>
                <w:rFonts w:ascii="宋体" w:hAnsi="宋体" w:cs="宋体"/>
                <w:sz w:val="20"/>
                <w:szCs w:val="20"/>
                <w:vertAlign w:val="superscript"/>
              </w:rPr>
              <w:t>3</w:t>
            </w:r>
          </w:p>
        </w:tc>
        <w:tc>
          <w:tcPr>
            <w:tcW w:w="1803" w:type="dxa"/>
            <w:tcBorders>
              <w:top w:val="single" w:color="auto" w:sz="6" w:space="0"/>
            </w:tcBorders>
            <w:tcMar>
              <w:left w:w="28" w:type="dxa"/>
              <w:right w:w="28" w:type="dxa"/>
            </w:tcMar>
            <w:vAlign w:val="center"/>
          </w:tcPr>
          <w:p w14:paraId="0F94CD52">
            <w:pPr>
              <w:pStyle w:val="111"/>
              <w:spacing w:line="240" w:lineRule="auto"/>
              <w:jc w:val="center"/>
              <w:rPr>
                <w:sz w:val="20"/>
                <w:szCs w:val="20"/>
              </w:rPr>
            </w:pPr>
            <w:r>
              <w:rPr>
                <w:rFonts w:hint="eastAsia" w:cs="宋体"/>
                <w:sz w:val="20"/>
                <w:szCs w:val="20"/>
              </w:rPr>
              <w:t>定期监测</w:t>
            </w:r>
          </w:p>
        </w:tc>
      </w:tr>
      <w:tr w14:paraId="690201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47" w:hRule="atLeast"/>
          <w:jc w:val="center"/>
        </w:trPr>
        <w:tc>
          <w:tcPr>
            <w:tcW w:w="1556" w:type="dxa"/>
            <w:vMerge w:val="continue"/>
            <w:tcBorders>
              <w:bottom w:val="single" w:color="auto" w:sz="6" w:space="0"/>
            </w:tcBorders>
            <w:tcMar>
              <w:left w:w="28" w:type="dxa"/>
              <w:right w:w="28" w:type="dxa"/>
            </w:tcMar>
            <w:vAlign w:val="center"/>
          </w:tcPr>
          <w:p w14:paraId="438F8802">
            <w:pPr>
              <w:pStyle w:val="111"/>
              <w:spacing w:line="240" w:lineRule="auto"/>
              <w:jc w:val="center"/>
              <w:rPr>
                <w:sz w:val="20"/>
                <w:szCs w:val="20"/>
              </w:rPr>
            </w:pPr>
          </w:p>
        </w:tc>
        <w:tc>
          <w:tcPr>
            <w:tcW w:w="1475" w:type="dxa"/>
            <w:tcBorders>
              <w:bottom w:val="single" w:color="auto" w:sz="6" w:space="0"/>
            </w:tcBorders>
            <w:tcMar>
              <w:left w:w="28" w:type="dxa"/>
              <w:right w:w="28" w:type="dxa"/>
            </w:tcMar>
            <w:vAlign w:val="center"/>
          </w:tcPr>
          <w:p w14:paraId="431C41A1">
            <w:pPr>
              <w:pStyle w:val="111"/>
              <w:spacing w:line="240" w:lineRule="auto"/>
              <w:jc w:val="center"/>
              <w:rPr>
                <w:sz w:val="20"/>
                <w:szCs w:val="20"/>
              </w:rPr>
            </w:pPr>
            <w:r>
              <w:rPr>
                <w:rFonts w:hint="eastAsia"/>
                <w:sz w:val="20"/>
                <w:szCs w:val="20"/>
              </w:rPr>
              <w:t>固废</w:t>
            </w:r>
          </w:p>
        </w:tc>
        <w:tc>
          <w:tcPr>
            <w:tcW w:w="4066" w:type="dxa"/>
            <w:tcBorders>
              <w:left w:val="single" w:color="auto" w:sz="4" w:space="0"/>
              <w:bottom w:val="single" w:color="auto" w:sz="6" w:space="0"/>
            </w:tcBorders>
            <w:vAlign w:val="center"/>
          </w:tcPr>
          <w:p w14:paraId="5B35BB4D">
            <w:pPr>
              <w:pStyle w:val="111"/>
              <w:spacing w:line="240" w:lineRule="auto"/>
              <w:rPr>
                <w:rFonts w:ascii="宋体" w:hAnsi="宋体" w:eastAsia="宋体" w:cs="宋体"/>
                <w:color w:val="000000"/>
                <w:kern w:val="0"/>
                <w:sz w:val="20"/>
                <w:szCs w:val="20"/>
                <w:lang w:val="en-US" w:eastAsia="zh-CN" w:bidi="ar-SA"/>
              </w:rPr>
            </w:pPr>
            <w:r>
              <w:rPr>
                <w:rFonts w:hint="eastAsia" w:ascii="宋体" w:hAnsi="宋体" w:cs="宋体"/>
                <w:sz w:val="20"/>
                <w:szCs w:val="20"/>
              </w:rPr>
              <w:t>主要控制废边角料、废活性炭、废皂液、废油墨瓶等，实行废弃物的规范化管理，减少废弃物对环境的污染。100%实现废弃物的分类管理。100%实现废弃物的处理规范化。</w:t>
            </w:r>
          </w:p>
        </w:tc>
        <w:tc>
          <w:tcPr>
            <w:tcW w:w="1803" w:type="dxa"/>
            <w:tcBorders>
              <w:bottom w:val="single" w:color="auto" w:sz="6" w:space="0"/>
            </w:tcBorders>
            <w:tcMar>
              <w:left w:w="28" w:type="dxa"/>
              <w:right w:w="28" w:type="dxa"/>
            </w:tcMar>
            <w:vAlign w:val="center"/>
          </w:tcPr>
          <w:p w14:paraId="55628B2C">
            <w:pPr>
              <w:pStyle w:val="111"/>
              <w:spacing w:line="240" w:lineRule="auto"/>
              <w:rPr>
                <w:sz w:val="20"/>
                <w:szCs w:val="20"/>
              </w:rPr>
            </w:pPr>
            <w:r>
              <w:rPr>
                <w:rFonts w:hint="eastAsia"/>
                <w:sz w:val="20"/>
                <w:szCs w:val="20"/>
              </w:rPr>
              <w:t>定期检查公司生</w:t>
            </w:r>
            <w:r>
              <w:rPr>
                <w:rFonts w:hint="eastAsia"/>
                <w:sz w:val="20"/>
                <w:szCs w:val="20"/>
                <w:lang w:val="en-US" w:eastAsia="zh-CN"/>
              </w:rPr>
              <w:t>产</w:t>
            </w:r>
            <w:r>
              <w:rPr>
                <w:rFonts w:hint="eastAsia"/>
                <w:sz w:val="20"/>
                <w:szCs w:val="20"/>
                <w:lang w:eastAsia="zh-CN"/>
              </w:rPr>
              <w:t>、</w:t>
            </w:r>
            <w:r>
              <w:rPr>
                <w:rFonts w:hint="eastAsia"/>
                <w:sz w:val="20"/>
                <w:szCs w:val="20"/>
              </w:rPr>
              <w:t>生活废物的回收和处置情况，每次处置完保留废弃物的处理记录。</w:t>
            </w:r>
          </w:p>
        </w:tc>
      </w:tr>
      <w:tr w14:paraId="2615EB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1556" w:type="dxa"/>
            <w:vMerge w:val="continue"/>
            <w:tcMar>
              <w:left w:w="28" w:type="dxa"/>
              <w:right w:w="28" w:type="dxa"/>
            </w:tcMar>
            <w:vAlign w:val="center"/>
          </w:tcPr>
          <w:p w14:paraId="24449833">
            <w:pPr>
              <w:pStyle w:val="111"/>
              <w:spacing w:line="240" w:lineRule="auto"/>
              <w:jc w:val="center"/>
              <w:rPr>
                <w:sz w:val="20"/>
                <w:szCs w:val="20"/>
              </w:rPr>
            </w:pPr>
          </w:p>
        </w:tc>
        <w:tc>
          <w:tcPr>
            <w:tcW w:w="1475" w:type="dxa"/>
            <w:shd w:val="clear" w:color="auto" w:fill="auto"/>
            <w:tcMar>
              <w:left w:w="28" w:type="dxa"/>
              <w:right w:w="28" w:type="dxa"/>
            </w:tcMar>
            <w:vAlign w:val="center"/>
          </w:tcPr>
          <w:p w14:paraId="58DDB225">
            <w:pPr>
              <w:pStyle w:val="111"/>
              <w:spacing w:line="240" w:lineRule="auto"/>
              <w:jc w:val="center"/>
              <w:rPr>
                <w:sz w:val="20"/>
                <w:szCs w:val="20"/>
              </w:rPr>
            </w:pPr>
            <w:r>
              <w:rPr>
                <w:rFonts w:hint="eastAsia"/>
                <w:sz w:val="20"/>
                <w:szCs w:val="20"/>
              </w:rPr>
              <w:t>火灾（潜在）</w:t>
            </w:r>
          </w:p>
        </w:tc>
        <w:tc>
          <w:tcPr>
            <w:tcW w:w="4066" w:type="dxa"/>
            <w:tcBorders>
              <w:left w:val="single" w:color="auto" w:sz="4" w:space="0"/>
            </w:tcBorders>
            <w:vAlign w:val="center"/>
          </w:tcPr>
          <w:p w14:paraId="39346DA8">
            <w:pPr>
              <w:pStyle w:val="111"/>
              <w:spacing w:line="240" w:lineRule="auto"/>
              <w:rPr>
                <w:sz w:val="20"/>
                <w:szCs w:val="20"/>
              </w:rPr>
            </w:pPr>
            <w:r>
              <w:rPr>
                <w:rFonts w:hint="eastAsia"/>
                <w:sz w:val="20"/>
                <w:szCs w:val="20"/>
              </w:rPr>
              <w:t>无发生</w:t>
            </w:r>
          </w:p>
        </w:tc>
        <w:tc>
          <w:tcPr>
            <w:tcW w:w="1803" w:type="dxa"/>
            <w:tcMar>
              <w:left w:w="28" w:type="dxa"/>
              <w:right w:w="28" w:type="dxa"/>
            </w:tcMar>
            <w:vAlign w:val="center"/>
          </w:tcPr>
          <w:p w14:paraId="79912A56">
            <w:pPr>
              <w:pStyle w:val="111"/>
              <w:spacing w:line="240" w:lineRule="auto"/>
              <w:rPr>
                <w:sz w:val="20"/>
                <w:szCs w:val="20"/>
              </w:rPr>
            </w:pPr>
            <w:r>
              <w:rPr>
                <w:rFonts w:hint="eastAsia"/>
                <w:sz w:val="20"/>
                <w:szCs w:val="20"/>
              </w:rPr>
              <w:t>常规检查1月/次，大检1年/次</w:t>
            </w:r>
          </w:p>
        </w:tc>
      </w:tr>
      <w:tr w14:paraId="1876EA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1556" w:type="dxa"/>
            <w:tcMar>
              <w:left w:w="28" w:type="dxa"/>
              <w:right w:w="28" w:type="dxa"/>
            </w:tcMar>
            <w:vAlign w:val="center"/>
          </w:tcPr>
          <w:p w14:paraId="4D0F6C48">
            <w:pPr>
              <w:pStyle w:val="111"/>
              <w:spacing w:line="240" w:lineRule="auto"/>
              <w:jc w:val="center"/>
              <w:rPr>
                <w:sz w:val="20"/>
                <w:szCs w:val="20"/>
              </w:rPr>
            </w:pPr>
            <w:r>
              <w:rPr>
                <w:rFonts w:hint="eastAsia"/>
                <w:sz w:val="20"/>
                <w:szCs w:val="20"/>
              </w:rPr>
              <w:t>节能降耗</w:t>
            </w:r>
          </w:p>
        </w:tc>
        <w:tc>
          <w:tcPr>
            <w:tcW w:w="1475" w:type="dxa"/>
            <w:tcMar>
              <w:left w:w="28" w:type="dxa"/>
              <w:right w:w="28" w:type="dxa"/>
            </w:tcMar>
            <w:vAlign w:val="center"/>
          </w:tcPr>
          <w:p w14:paraId="3F384EA5">
            <w:pPr>
              <w:pStyle w:val="111"/>
              <w:spacing w:line="240" w:lineRule="auto"/>
              <w:jc w:val="center"/>
              <w:rPr>
                <w:sz w:val="20"/>
                <w:szCs w:val="20"/>
              </w:rPr>
            </w:pPr>
            <w:r>
              <w:rPr>
                <w:rFonts w:hint="eastAsia"/>
                <w:sz w:val="20"/>
                <w:szCs w:val="20"/>
              </w:rPr>
              <w:t>综合能耗</w:t>
            </w:r>
          </w:p>
        </w:tc>
        <w:tc>
          <w:tcPr>
            <w:tcW w:w="4066" w:type="dxa"/>
            <w:tcBorders>
              <w:left w:val="single" w:color="auto" w:sz="4" w:space="0"/>
            </w:tcBorders>
            <w:vAlign w:val="center"/>
          </w:tcPr>
          <w:p w14:paraId="20CC84D0">
            <w:pPr>
              <w:pStyle w:val="111"/>
              <w:spacing w:line="240" w:lineRule="auto"/>
              <w:rPr>
                <w:sz w:val="20"/>
                <w:szCs w:val="20"/>
              </w:rPr>
            </w:pPr>
            <w:r>
              <w:rPr>
                <w:rFonts w:hint="eastAsia"/>
                <w:sz w:val="20"/>
                <w:szCs w:val="20"/>
              </w:rPr>
              <w:t>/</w:t>
            </w:r>
          </w:p>
        </w:tc>
        <w:tc>
          <w:tcPr>
            <w:tcW w:w="1803" w:type="dxa"/>
            <w:tcMar>
              <w:left w:w="28" w:type="dxa"/>
              <w:right w:w="28" w:type="dxa"/>
            </w:tcMar>
            <w:vAlign w:val="center"/>
          </w:tcPr>
          <w:p w14:paraId="69FE40CC">
            <w:pPr>
              <w:pStyle w:val="111"/>
              <w:spacing w:line="240" w:lineRule="auto"/>
              <w:rPr>
                <w:sz w:val="20"/>
                <w:szCs w:val="20"/>
              </w:rPr>
            </w:pPr>
            <w:r>
              <w:rPr>
                <w:rFonts w:hint="eastAsia"/>
                <w:sz w:val="20"/>
                <w:szCs w:val="20"/>
              </w:rPr>
              <w:t>每月统计产值、能耗</w:t>
            </w:r>
          </w:p>
        </w:tc>
      </w:tr>
      <w:tr w14:paraId="65B540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1556" w:type="dxa"/>
            <w:tcMar>
              <w:left w:w="28" w:type="dxa"/>
              <w:right w:w="28" w:type="dxa"/>
            </w:tcMar>
            <w:vAlign w:val="center"/>
          </w:tcPr>
          <w:p w14:paraId="257FF3F1">
            <w:pPr>
              <w:pStyle w:val="111"/>
              <w:spacing w:line="240" w:lineRule="auto"/>
              <w:jc w:val="center"/>
              <w:rPr>
                <w:sz w:val="20"/>
                <w:szCs w:val="20"/>
              </w:rPr>
            </w:pPr>
            <w:r>
              <w:rPr>
                <w:rFonts w:hint="eastAsia"/>
                <w:sz w:val="20"/>
                <w:szCs w:val="20"/>
              </w:rPr>
              <w:t>安全生产</w:t>
            </w:r>
          </w:p>
        </w:tc>
        <w:tc>
          <w:tcPr>
            <w:tcW w:w="1475" w:type="dxa"/>
            <w:tcMar>
              <w:left w:w="28" w:type="dxa"/>
              <w:right w:w="28" w:type="dxa"/>
            </w:tcMar>
            <w:vAlign w:val="center"/>
          </w:tcPr>
          <w:p w14:paraId="19D87DCB">
            <w:pPr>
              <w:pStyle w:val="111"/>
              <w:spacing w:line="240" w:lineRule="auto"/>
              <w:jc w:val="center"/>
              <w:rPr>
                <w:sz w:val="20"/>
                <w:szCs w:val="20"/>
              </w:rPr>
            </w:pPr>
            <w:r>
              <w:rPr>
                <w:rFonts w:hint="eastAsia"/>
                <w:sz w:val="20"/>
                <w:szCs w:val="20"/>
              </w:rPr>
              <w:t>杜绝安全事故，预防职业病发生</w:t>
            </w:r>
          </w:p>
        </w:tc>
        <w:tc>
          <w:tcPr>
            <w:tcW w:w="4066" w:type="dxa"/>
            <w:tcBorders>
              <w:left w:val="single" w:color="auto" w:sz="4" w:space="0"/>
            </w:tcBorders>
            <w:vAlign w:val="center"/>
          </w:tcPr>
          <w:p w14:paraId="0E9676DB">
            <w:pPr>
              <w:pStyle w:val="111"/>
              <w:spacing w:line="240" w:lineRule="auto"/>
              <w:rPr>
                <w:sz w:val="20"/>
                <w:szCs w:val="20"/>
              </w:rPr>
            </w:pPr>
            <w:r>
              <w:rPr>
                <w:rFonts w:hint="eastAsia"/>
                <w:sz w:val="20"/>
                <w:szCs w:val="20"/>
              </w:rPr>
              <w:t>无安全生产责任事故</w:t>
            </w:r>
          </w:p>
        </w:tc>
        <w:tc>
          <w:tcPr>
            <w:tcW w:w="1803" w:type="dxa"/>
            <w:tcMar>
              <w:left w:w="28" w:type="dxa"/>
              <w:right w:w="28" w:type="dxa"/>
            </w:tcMar>
            <w:vAlign w:val="center"/>
          </w:tcPr>
          <w:p w14:paraId="36A7E1F3">
            <w:pPr>
              <w:pStyle w:val="111"/>
              <w:spacing w:line="240" w:lineRule="auto"/>
              <w:rPr>
                <w:sz w:val="20"/>
                <w:szCs w:val="20"/>
              </w:rPr>
            </w:pPr>
            <w:r>
              <w:rPr>
                <w:rFonts w:hint="eastAsia"/>
                <w:sz w:val="20"/>
                <w:szCs w:val="20"/>
              </w:rPr>
              <w:t>每年统计，消防安全检查</w:t>
            </w:r>
          </w:p>
        </w:tc>
      </w:tr>
    </w:tbl>
    <w:p w14:paraId="14765250">
      <w:pPr>
        <w:keepNext w:val="0"/>
        <w:keepLines w:val="0"/>
        <w:pageBreakBefore w:val="0"/>
        <w:widowControl w:val="0"/>
        <w:kinsoku/>
        <w:wordWrap/>
        <w:overflowPunct/>
        <w:topLinePunct w:val="0"/>
        <w:autoSpaceDE/>
        <w:autoSpaceDN/>
        <w:bidi w:val="0"/>
        <w:adjustRightInd/>
        <w:snapToGrid/>
        <w:spacing w:before="157" w:beforeLines="50" w:line="312" w:lineRule="auto"/>
        <w:ind w:firstLine="420" w:firstLineChars="200"/>
        <w:textAlignment w:val="auto"/>
        <w:rPr>
          <w:rFonts w:cs="仿宋_GB2312" w:asciiTheme="minorEastAsia" w:hAnsiTheme="minorEastAsia" w:eastAsiaTheme="minorEastAsia"/>
          <w:color w:val="000000" w:themeColor="text1"/>
          <w:szCs w:val="21"/>
        </w:rPr>
      </w:pPr>
      <w:bookmarkStart w:id="48" w:name="_Toc300154931"/>
      <w:bookmarkStart w:id="49" w:name="_Toc5260"/>
      <w:bookmarkStart w:id="50" w:name="_Toc292992195"/>
      <w:r>
        <w:rPr>
          <w:rFonts w:hint="eastAsia" w:cs="仿宋_GB2312" w:asciiTheme="minorEastAsia" w:hAnsiTheme="minorEastAsia" w:eastAsiaTheme="minorEastAsia"/>
          <w:color w:val="000000" w:themeColor="text1"/>
          <w:szCs w:val="21"/>
        </w:rPr>
        <w:t>公司通过每年的内部审核、二方审核、第三方监督审核等方式，分析评价公司对质量管理、环境保护、能源消耗、资源综合利用、健康与安全等方面的问题，采取措施，实施改善。</w:t>
      </w:r>
    </w:p>
    <w:p w14:paraId="5E8FF5FE">
      <w:pPr>
        <w:spacing w:line="312" w:lineRule="auto"/>
        <w:ind w:firstLine="422" w:firstLineChars="200"/>
        <w:rPr>
          <w:rFonts w:cs="仿宋_GB2312" w:asciiTheme="minorEastAsia" w:hAnsiTheme="minorEastAsia" w:eastAsiaTheme="minorEastAsia"/>
          <w:b/>
          <w:bCs/>
          <w:color w:val="000000" w:themeColor="text1"/>
          <w:szCs w:val="21"/>
        </w:rPr>
      </w:pPr>
      <w:bookmarkStart w:id="51" w:name="_Toc388480991"/>
      <w:bookmarkStart w:id="52" w:name="_Toc420614492"/>
      <w:bookmarkStart w:id="53" w:name="_Toc420361184"/>
      <w:bookmarkStart w:id="54" w:name="_Toc388489886"/>
      <w:bookmarkStart w:id="55" w:name="_Toc388485347"/>
      <w:bookmarkStart w:id="56" w:name="_Toc388485128"/>
      <w:bookmarkStart w:id="57" w:name="_Toc388490011"/>
      <w:r>
        <w:rPr>
          <w:rFonts w:hint="eastAsia" w:cs="仿宋_GB2312" w:asciiTheme="minorEastAsia" w:hAnsiTheme="minorEastAsia" w:eastAsiaTheme="minorEastAsia"/>
          <w:b/>
          <w:bCs/>
          <w:color w:val="000000" w:themeColor="text1"/>
          <w:szCs w:val="21"/>
        </w:rPr>
        <w:t>2、道德行为</w:t>
      </w:r>
      <w:bookmarkEnd w:id="48"/>
      <w:bookmarkEnd w:id="49"/>
      <w:bookmarkEnd w:id="50"/>
      <w:bookmarkEnd w:id="51"/>
      <w:bookmarkEnd w:id="52"/>
      <w:bookmarkEnd w:id="53"/>
      <w:bookmarkEnd w:id="54"/>
      <w:bookmarkEnd w:id="55"/>
      <w:bookmarkEnd w:id="56"/>
      <w:bookmarkEnd w:id="57"/>
    </w:p>
    <w:p w14:paraId="507E00E0">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公司的道德行为主要表现为：在企业内部主要对高层领导、中层领导及员工负责；在企业之间主要对供应商负责；在企业外部主要对客户、股东、政府和社会等负责。</w:t>
      </w:r>
    </w:p>
    <w:p w14:paraId="14B4BF7E">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企业内部：对高层领导，每年进行一次民主测评，主要针对政治思想、领导艺术、业务等方面的评价；对中层领导，制定领导干部廉洁从业若干规定，以提高中层领导的道德及管理水平。对公司员工，有各项行政管理制度等约束性规范。</w:t>
      </w:r>
    </w:p>
    <w:p w14:paraId="7958ED15">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企业之间：对供应商，公司与之建有良好的合作伙伴关系，定期会晤交流。在日常的物资采购环节，采购供应部严格按照《合同法》和采购控制流程操作实施，使合同违约率和索赔金额达到最低限度。</w:t>
      </w:r>
    </w:p>
    <w:p w14:paraId="2733DDC4">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 xml:space="preserve">企业外部：对于顾客，确保质量、遵守合同。公司的产品在质量上主要执行三个标准，一个是相同于国家的质量法律法规，一个是行业内的质量标准，还有一个是企业自身的质量要求标准。就相对而言，因为公司在行业内的领军地位，使得自身的标准往往高于国家或行业标准，产品质量广受好评。同时在履行营销合同方面，公司一贯是按《合同法》操作，与广大客户无论大小均有良好合作。对于政府：依法纳税、廉洁自律。依法纳税是一个企业的基本道德底线，也是实现经济社会良性发展的重要保障。公司依法纳税是应尽的责任和义务。 </w:t>
      </w:r>
    </w:p>
    <w:p w14:paraId="2B1C44AF">
      <w:pPr>
        <w:spacing w:line="312" w:lineRule="auto"/>
        <w:ind w:firstLine="422" w:firstLineChars="200"/>
        <w:rPr>
          <w:rFonts w:cs="仿宋_GB2312" w:asciiTheme="minorEastAsia" w:hAnsiTheme="minorEastAsia" w:eastAsiaTheme="minorEastAsia"/>
          <w:b/>
          <w:bCs/>
          <w:color w:val="000000" w:themeColor="text1"/>
          <w:szCs w:val="21"/>
        </w:rPr>
      </w:pPr>
      <w:bookmarkStart w:id="58" w:name="_Toc388490012"/>
      <w:bookmarkStart w:id="59" w:name="_Toc420361185"/>
      <w:bookmarkStart w:id="60" w:name="_Toc388485348"/>
      <w:bookmarkStart w:id="61" w:name="_Toc9004"/>
      <w:bookmarkStart w:id="62" w:name="_Toc420614493"/>
      <w:bookmarkStart w:id="63" w:name="_Toc388489887"/>
      <w:bookmarkStart w:id="64" w:name="_Toc388480992"/>
      <w:bookmarkStart w:id="65" w:name="_Toc388485129"/>
      <w:r>
        <w:rPr>
          <w:rFonts w:hint="eastAsia" w:cs="仿宋_GB2312" w:asciiTheme="minorEastAsia" w:hAnsiTheme="minorEastAsia" w:eastAsiaTheme="minorEastAsia"/>
          <w:b/>
          <w:bCs/>
          <w:color w:val="000000" w:themeColor="text1"/>
          <w:szCs w:val="21"/>
        </w:rPr>
        <w:t>3、公益支持</w:t>
      </w:r>
      <w:bookmarkEnd w:id="58"/>
      <w:bookmarkEnd w:id="59"/>
      <w:bookmarkEnd w:id="60"/>
      <w:bookmarkEnd w:id="61"/>
      <w:bookmarkEnd w:id="62"/>
      <w:bookmarkEnd w:id="63"/>
      <w:bookmarkEnd w:id="64"/>
      <w:bookmarkEnd w:id="65"/>
    </w:p>
    <w:p w14:paraId="676BCF2A">
      <w:pPr>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强调企业的社会责任，真诚回报社会。董事长十分重视公益支持事业，大力倡导并以身作则，公司领导也将随着企业的不断发展坚持不懈的把公益事业发展下去。公司配合企业的战略每年规划公益支持的费用和公益支持的方向。</w:t>
      </w:r>
    </w:p>
    <w:p w14:paraId="570C4CDF">
      <w:pPr>
        <w:spacing w:beforeLines="50"/>
        <w:ind w:left="359" w:leftChars="171" w:firstLine="316" w:firstLineChars="150"/>
        <w:jc w:val="center"/>
        <w:rPr>
          <w:rFonts w:ascii="宋体" w:hAnsi="宋体"/>
          <w:color w:val="000000"/>
          <w:sz w:val="28"/>
          <w:szCs w:val="28"/>
          <w:highlight w:val="yellow"/>
        </w:rPr>
      </w:pPr>
      <w:r>
        <w:rPr>
          <w:rFonts w:hint="eastAsia" w:ascii="宋体" w:hAnsi="宋体"/>
          <w:b/>
          <w:bCs/>
          <w:color w:val="000000"/>
          <w:szCs w:val="21"/>
        </w:rPr>
        <w:t>图表</w:t>
      </w:r>
      <w:r>
        <w:rPr>
          <w:rFonts w:hint="eastAsia" w:ascii="宋体" w:hAnsi="宋体"/>
          <w:b/>
          <w:bCs/>
          <w:color w:val="000000"/>
          <w:szCs w:val="21"/>
          <w:lang w:val="en-US" w:eastAsia="zh-CN"/>
        </w:rPr>
        <w:t>10</w:t>
      </w:r>
      <w:r>
        <w:rPr>
          <w:rFonts w:hint="eastAsia" w:ascii="宋体" w:hAnsi="宋体"/>
          <w:b/>
          <w:bCs/>
          <w:color w:val="000000"/>
          <w:szCs w:val="21"/>
        </w:rPr>
        <w:t xml:space="preserve"> </w:t>
      </w:r>
      <w:r>
        <w:rPr>
          <w:rFonts w:hint="eastAsia"/>
          <w:b/>
          <w:bCs/>
          <w:color w:val="000000"/>
          <w:szCs w:val="21"/>
        </w:rPr>
        <w:t>近三年</w:t>
      </w:r>
      <w:r>
        <w:rPr>
          <w:rFonts w:hint="eastAsia" w:ascii="宋体" w:hAnsi="宋体"/>
          <w:b/>
          <w:bCs/>
          <w:color w:val="000000"/>
          <w:szCs w:val="21"/>
        </w:rPr>
        <w:t>公司公益活动情况</w:t>
      </w:r>
    </w:p>
    <w:tbl>
      <w:tblPr>
        <w:tblStyle w:val="23"/>
        <w:tblW w:w="86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3492"/>
        <w:gridCol w:w="2887"/>
      </w:tblGrid>
      <w:tr w14:paraId="7B763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2268" w:type="dxa"/>
            <w:tcBorders>
              <w:top w:val="single" w:color="auto" w:sz="4" w:space="0"/>
              <w:left w:val="single" w:color="auto" w:sz="4" w:space="0"/>
              <w:bottom w:val="single" w:color="auto" w:sz="4" w:space="0"/>
              <w:right w:val="single" w:color="auto" w:sz="4" w:space="0"/>
            </w:tcBorders>
            <w:shd w:val="clear" w:color="auto" w:fill="DBE5F1"/>
            <w:vAlign w:val="center"/>
          </w:tcPr>
          <w:p w14:paraId="1E9994C7">
            <w:pPr>
              <w:spacing w:line="240" w:lineRule="atLeast"/>
              <w:jc w:val="center"/>
              <w:rPr>
                <w:rFonts w:ascii="宋体" w:hAnsi="宋体"/>
                <w:b/>
                <w:bCs/>
                <w:color w:val="000000"/>
                <w:szCs w:val="21"/>
                <w:highlight w:val="none"/>
              </w:rPr>
            </w:pPr>
            <w:bookmarkStart w:id="66" w:name="_Toc2948"/>
            <w:r>
              <w:rPr>
                <w:rFonts w:hint="eastAsia" w:ascii="宋体" w:hAnsi="宋体"/>
                <w:b/>
                <w:bCs/>
                <w:color w:val="000000"/>
                <w:szCs w:val="21"/>
              </w:rPr>
              <w:t>支持领域名称</w:t>
            </w:r>
          </w:p>
        </w:tc>
        <w:tc>
          <w:tcPr>
            <w:tcW w:w="3492" w:type="dxa"/>
            <w:tcBorders>
              <w:top w:val="single" w:color="auto" w:sz="4" w:space="0"/>
              <w:left w:val="single" w:color="auto" w:sz="4" w:space="0"/>
              <w:bottom w:val="single" w:color="auto" w:sz="4" w:space="0"/>
              <w:right w:val="single" w:color="auto" w:sz="4" w:space="0"/>
            </w:tcBorders>
            <w:shd w:val="clear" w:color="auto" w:fill="DBE5F1"/>
            <w:vAlign w:val="center"/>
          </w:tcPr>
          <w:p w14:paraId="176E0982">
            <w:pPr>
              <w:spacing w:line="240" w:lineRule="atLeast"/>
              <w:jc w:val="center"/>
              <w:rPr>
                <w:rFonts w:ascii="宋体" w:hAnsi="宋体"/>
                <w:b/>
                <w:bCs/>
                <w:color w:val="000000"/>
                <w:szCs w:val="21"/>
                <w:highlight w:val="none"/>
              </w:rPr>
            </w:pPr>
            <w:r>
              <w:rPr>
                <w:rFonts w:hint="eastAsia" w:ascii="宋体" w:hAnsi="宋体"/>
                <w:b/>
                <w:bCs/>
                <w:color w:val="000000"/>
                <w:szCs w:val="21"/>
              </w:rPr>
              <w:t>支持内容</w:t>
            </w:r>
          </w:p>
        </w:tc>
        <w:tc>
          <w:tcPr>
            <w:tcW w:w="2887" w:type="dxa"/>
            <w:tcBorders>
              <w:top w:val="single" w:color="auto" w:sz="4" w:space="0"/>
              <w:left w:val="single" w:color="auto" w:sz="4" w:space="0"/>
              <w:bottom w:val="single" w:color="auto" w:sz="4" w:space="0"/>
              <w:right w:val="single" w:color="auto" w:sz="4" w:space="0"/>
            </w:tcBorders>
            <w:shd w:val="clear" w:color="auto" w:fill="DBE5F1"/>
            <w:vAlign w:val="center"/>
          </w:tcPr>
          <w:p w14:paraId="39DEC002">
            <w:pPr>
              <w:spacing w:line="240" w:lineRule="atLeast"/>
              <w:jc w:val="center"/>
              <w:rPr>
                <w:rFonts w:ascii="宋体" w:hAnsi="宋体"/>
                <w:b/>
                <w:bCs/>
                <w:color w:val="000000"/>
                <w:szCs w:val="21"/>
                <w:highlight w:val="none"/>
              </w:rPr>
            </w:pPr>
            <w:r>
              <w:rPr>
                <w:rFonts w:hint="eastAsia" w:ascii="宋体" w:hAnsi="宋体"/>
                <w:b/>
                <w:bCs/>
                <w:color w:val="000000"/>
                <w:szCs w:val="21"/>
              </w:rPr>
              <w:t>金额（元）</w:t>
            </w:r>
          </w:p>
        </w:tc>
      </w:tr>
      <w:tr w14:paraId="19286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238A0C60">
            <w:pPr>
              <w:spacing w:line="240" w:lineRule="atLeast"/>
              <w:jc w:val="center"/>
              <w:rPr>
                <w:rFonts w:hint="default" w:ascii="宋体" w:hAnsi="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慈善</w:t>
            </w:r>
          </w:p>
        </w:tc>
        <w:tc>
          <w:tcPr>
            <w:tcW w:w="3492" w:type="dxa"/>
            <w:tcBorders>
              <w:top w:val="single" w:color="auto" w:sz="4" w:space="0"/>
              <w:left w:val="single" w:color="auto" w:sz="4" w:space="0"/>
              <w:bottom w:val="single" w:color="auto" w:sz="4" w:space="0"/>
              <w:right w:val="single" w:color="auto" w:sz="4" w:space="0"/>
            </w:tcBorders>
            <w:vAlign w:val="center"/>
          </w:tcPr>
          <w:p w14:paraId="4DFE24D4">
            <w:pPr>
              <w:spacing w:line="240" w:lineRule="atLeast"/>
              <w:ind w:left="210" w:leftChars="0" w:hanging="210" w:hangingChars="100"/>
              <w:jc w:val="center"/>
              <w:rPr>
                <w:rFonts w:hint="default"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2023 浙里有爱帮扶基金</w:t>
            </w:r>
          </w:p>
        </w:tc>
        <w:tc>
          <w:tcPr>
            <w:tcW w:w="2887" w:type="dxa"/>
            <w:tcBorders>
              <w:top w:val="single" w:color="auto" w:sz="4" w:space="0"/>
              <w:left w:val="single" w:color="auto" w:sz="4" w:space="0"/>
              <w:bottom w:val="single" w:color="auto" w:sz="4" w:space="0"/>
              <w:right w:val="single" w:color="auto" w:sz="4" w:space="0"/>
            </w:tcBorders>
            <w:vAlign w:val="center"/>
          </w:tcPr>
          <w:p w14:paraId="3B1D66DC">
            <w:pPr>
              <w:spacing w:line="240" w:lineRule="atLeast"/>
              <w:jc w:val="center"/>
              <w:rPr>
                <w:rFonts w:hint="default" w:ascii="宋体" w:hAnsi="宋体"/>
                <w:sz w:val="21"/>
                <w:szCs w:val="21"/>
                <w:highlight w:val="none"/>
                <w:lang w:val="en-US" w:eastAsia="zh-CN"/>
              </w:rPr>
            </w:pPr>
            <w:r>
              <w:rPr>
                <w:rFonts w:hint="eastAsia" w:ascii="宋体" w:hAnsi="宋体"/>
                <w:sz w:val="21"/>
                <w:szCs w:val="21"/>
                <w:highlight w:val="none"/>
                <w:lang w:val="en-US" w:eastAsia="zh-CN"/>
              </w:rPr>
              <w:t>10000</w:t>
            </w:r>
          </w:p>
        </w:tc>
      </w:tr>
      <w:tr w14:paraId="35BECB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731BF204">
            <w:pPr>
              <w:spacing w:line="240" w:lineRule="atLeast"/>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华文中宋"/>
                <w:kern w:val="0"/>
                <w:sz w:val="21"/>
                <w:szCs w:val="21"/>
                <w:highlight w:val="none"/>
                <w:lang w:val="en-US" w:eastAsia="zh-CN"/>
              </w:rPr>
              <w:t>关爱老人</w:t>
            </w:r>
          </w:p>
        </w:tc>
        <w:tc>
          <w:tcPr>
            <w:tcW w:w="3492" w:type="dxa"/>
            <w:tcBorders>
              <w:top w:val="single" w:color="auto" w:sz="4" w:space="0"/>
              <w:left w:val="single" w:color="auto" w:sz="4" w:space="0"/>
              <w:bottom w:val="single" w:color="auto" w:sz="4" w:space="0"/>
              <w:right w:val="single" w:color="auto" w:sz="4" w:space="0"/>
            </w:tcBorders>
            <w:vAlign w:val="center"/>
          </w:tcPr>
          <w:p w14:paraId="5092B9A4">
            <w:pPr>
              <w:spacing w:line="240" w:lineRule="atLeast"/>
              <w:ind w:left="210" w:leftChars="0" w:hanging="210" w:hangingChars="100"/>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宋体"/>
                <w:color w:val="000000"/>
                <w:kern w:val="0"/>
                <w:sz w:val="21"/>
                <w:szCs w:val="21"/>
                <w:highlight w:val="none"/>
                <w:lang w:val="en-US" w:eastAsia="zh-CN"/>
              </w:rPr>
              <w:t xml:space="preserve">2023为村里老人理发，发放过节礼品 </w:t>
            </w:r>
          </w:p>
        </w:tc>
        <w:tc>
          <w:tcPr>
            <w:tcW w:w="2887" w:type="dxa"/>
            <w:tcBorders>
              <w:top w:val="single" w:color="auto" w:sz="4" w:space="0"/>
              <w:left w:val="single" w:color="auto" w:sz="4" w:space="0"/>
              <w:bottom w:val="single" w:color="auto" w:sz="4" w:space="0"/>
              <w:right w:val="single" w:color="auto" w:sz="4" w:space="0"/>
            </w:tcBorders>
            <w:vAlign w:val="center"/>
          </w:tcPr>
          <w:p w14:paraId="5714FE8B">
            <w:pPr>
              <w:spacing w:line="240" w:lineRule="atLeast"/>
              <w:jc w:val="center"/>
              <w:rPr>
                <w:rFonts w:hint="default" w:ascii="宋体" w:hAnsi="宋体" w:eastAsia="宋体" w:cs="Times New Roman"/>
                <w:color w:val="000000"/>
                <w:kern w:val="2"/>
                <w:sz w:val="21"/>
                <w:szCs w:val="21"/>
                <w:highlight w:val="yellow"/>
                <w:lang w:val="en-US" w:eastAsia="zh-CN" w:bidi="ar-SA"/>
              </w:rPr>
            </w:pPr>
            <w:r>
              <w:rPr>
                <w:rFonts w:hint="eastAsia" w:ascii="宋体" w:hAnsi="宋体"/>
                <w:sz w:val="21"/>
                <w:szCs w:val="21"/>
                <w:highlight w:val="none"/>
                <w:lang w:val="en-US" w:eastAsia="zh-CN"/>
              </w:rPr>
              <w:t>6000</w:t>
            </w:r>
          </w:p>
        </w:tc>
      </w:tr>
      <w:tr w14:paraId="7BF49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60B37835">
            <w:pPr>
              <w:spacing w:line="240" w:lineRule="atLeast"/>
              <w:jc w:val="center"/>
              <w:rPr>
                <w:rFonts w:hint="eastAsia" w:ascii="宋体" w:hAnsi="宋体" w:cs="华文中宋"/>
                <w:kern w:val="0"/>
                <w:sz w:val="21"/>
                <w:szCs w:val="21"/>
                <w:highlight w:val="none"/>
                <w:lang w:val="en-US" w:eastAsia="zh-CN"/>
              </w:rPr>
            </w:pPr>
            <w:r>
              <w:rPr>
                <w:rFonts w:hint="eastAsia" w:ascii="宋体" w:hAnsi="宋体" w:cs="Times New Roman"/>
                <w:color w:val="000000"/>
                <w:kern w:val="2"/>
                <w:sz w:val="21"/>
                <w:szCs w:val="21"/>
                <w:highlight w:val="none"/>
                <w:lang w:val="en-US" w:eastAsia="zh-CN" w:bidi="ar-SA"/>
              </w:rPr>
              <w:t>慈善</w:t>
            </w:r>
          </w:p>
        </w:tc>
        <w:tc>
          <w:tcPr>
            <w:tcW w:w="3492" w:type="dxa"/>
            <w:tcBorders>
              <w:top w:val="single" w:color="auto" w:sz="4" w:space="0"/>
              <w:left w:val="single" w:color="auto" w:sz="4" w:space="0"/>
              <w:bottom w:val="single" w:color="auto" w:sz="4" w:space="0"/>
              <w:right w:val="single" w:color="auto" w:sz="4" w:space="0"/>
            </w:tcBorders>
            <w:vAlign w:val="center"/>
          </w:tcPr>
          <w:p w14:paraId="44F9A2A1">
            <w:pPr>
              <w:spacing w:line="240" w:lineRule="atLeast"/>
              <w:ind w:left="210" w:leftChars="0" w:hanging="210" w:hangingChars="100"/>
              <w:jc w:val="center"/>
              <w:rPr>
                <w:rFonts w:hint="default"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2024年1月捐款</w:t>
            </w:r>
          </w:p>
        </w:tc>
        <w:tc>
          <w:tcPr>
            <w:tcW w:w="2887" w:type="dxa"/>
            <w:tcBorders>
              <w:top w:val="single" w:color="auto" w:sz="4" w:space="0"/>
              <w:left w:val="single" w:color="auto" w:sz="4" w:space="0"/>
              <w:bottom w:val="single" w:color="auto" w:sz="4" w:space="0"/>
              <w:right w:val="single" w:color="auto" w:sz="4" w:space="0"/>
            </w:tcBorders>
            <w:vAlign w:val="center"/>
          </w:tcPr>
          <w:p w14:paraId="4C523E23">
            <w:pPr>
              <w:spacing w:line="240" w:lineRule="atLeast"/>
              <w:jc w:val="center"/>
              <w:rPr>
                <w:rFonts w:hint="default" w:ascii="宋体" w:hAnsi="宋体"/>
                <w:sz w:val="21"/>
                <w:szCs w:val="21"/>
                <w:highlight w:val="none"/>
                <w:lang w:val="en-US" w:eastAsia="zh-CN"/>
              </w:rPr>
            </w:pPr>
            <w:r>
              <w:rPr>
                <w:rFonts w:hint="eastAsia" w:ascii="宋体" w:hAnsi="宋体"/>
                <w:sz w:val="21"/>
                <w:szCs w:val="21"/>
                <w:highlight w:val="none"/>
                <w:lang w:val="en-US" w:eastAsia="zh-CN"/>
              </w:rPr>
              <w:t>20000元</w:t>
            </w:r>
          </w:p>
        </w:tc>
      </w:tr>
      <w:tr w14:paraId="3D78B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shd w:val="clear"/>
            <w:vAlign w:val="center"/>
          </w:tcPr>
          <w:p w14:paraId="505D98BA">
            <w:pPr>
              <w:spacing w:line="240" w:lineRule="atLeast"/>
              <w:jc w:val="center"/>
              <w:rPr>
                <w:rFonts w:hint="eastAsia" w:ascii="宋体" w:hAnsi="宋体" w:eastAsia="宋体" w:cs="华文中宋"/>
                <w:kern w:val="0"/>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慈善</w:t>
            </w:r>
          </w:p>
        </w:tc>
        <w:tc>
          <w:tcPr>
            <w:tcW w:w="3492" w:type="dxa"/>
            <w:tcBorders>
              <w:top w:val="single" w:color="auto" w:sz="4" w:space="0"/>
              <w:left w:val="single" w:color="auto" w:sz="4" w:space="0"/>
              <w:bottom w:val="single" w:color="auto" w:sz="4" w:space="0"/>
              <w:right w:val="single" w:color="auto" w:sz="4" w:space="0"/>
            </w:tcBorders>
            <w:shd w:val="clear"/>
            <w:vAlign w:val="center"/>
          </w:tcPr>
          <w:p w14:paraId="24645633">
            <w:pPr>
              <w:spacing w:line="240" w:lineRule="atLeast"/>
              <w:ind w:left="210" w:leftChars="0" w:hanging="210" w:hangingChars="100"/>
              <w:jc w:val="center"/>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2025年12月捐款</w:t>
            </w:r>
          </w:p>
        </w:tc>
        <w:tc>
          <w:tcPr>
            <w:tcW w:w="2887" w:type="dxa"/>
            <w:tcBorders>
              <w:top w:val="single" w:color="auto" w:sz="4" w:space="0"/>
              <w:left w:val="single" w:color="auto" w:sz="4" w:space="0"/>
              <w:bottom w:val="single" w:color="auto" w:sz="4" w:space="0"/>
              <w:right w:val="single" w:color="auto" w:sz="4" w:space="0"/>
            </w:tcBorders>
            <w:shd w:val="clear"/>
            <w:vAlign w:val="center"/>
          </w:tcPr>
          <w:p w14:paraId="6EF6756F">
            <w:pPr>
              <w:spacing w:line="240" w:lineRule="atLeast"/>
              <w:jc w:val="center"/>
              <w:rPr>
                <w:rFonts w:hint="eastAsia" w:ascii="宋体" w:hAnsi="宋体" w:eastAsia="宋体" w:cs="Times New Roman"/>
                <w:kern w:val="2"/>
                <w:sz w:val="21"/>
                <w:szCs w:val="21"/>
                <w:highlight w:val="none"/>
                <w:lang w:val="en-US" w:eastAsia="zh-CN" w:bidi="ar-SA"/>
              </w:rPr>
            </w:pPr>
            <w:r>
              <w:rPr>
                <w:rFonts w:hint="eastAsia" w:ascii="宋体" w:hAnsi="宋体"/>
                <w:sz w:val="21"/>
                <w:szCs w:val="21"/>
                <w:highlight w:val="none"/>
                <w:lang w:val="en-US" w:eastAsia="zh-CN"/>
              </w:rPr>
              <w:t>30000元</w:t>
            </w:r>
          </w:p>
        </w:tc>
      </w:tr>
    </w:tbl>
    <w:p w14:paraId="2E8A007A">
      <w:pPr>
        <w:keepNext w:val="0"/>
        <w:keepLines w:val="0"/>
        <w:pageBreakBefore w:val="0"/>
        <w:widowControl w:val="0"/>
        <w:kinsoku/>
        <w:wordWrap/>
        <w:overflowPunct/>
        <w:topLinePunct w:val="0"/>
        <w:autoSpaceDE/>
        <w:autoSpaceDN/>
        <w:bidi w:val="0"/>
        <w:adjustRightInd/>
        <w:snapToGrid/>
        <w:spacing w:before="157" w:beforeLines="50" w:line="360" w:lineRule="auto"/>
        <w:ind w:firstLine="361" w:firstLineChars="150"/>
        <w:textAlignment w:val="auto"/>
        <w:outlineLvl w:val="1"/>
        <w:rPr>
          <w:rFonts w:cs="仿宋_GB2312" w:asciiTheme="minorEastAsia" w:hAnsiTheme="minorEastAsia" w:eastAsiaTheme="minorEastAsia"/>
          <w:b/>
          <w:bCs/>
          <w:color w:val="000000" w:themeColor="text1"/>
          <w:sz w:val="24"/>
        </w:rPr>
      </w:pPr>
      <w:r>
        <w:rPr>
          <w:rFonts w:hint="eastAsia" w:cs="仿宋_GB2312" w:asciiTheme="minorEastAsia" w:hAnsiTheme="minorEastAsia" w:eastAsiaTheme="minorEastAsia"/>
          <w:b/>
          <w:bCs/>
          <w:color w:val="000000" w:themeColor="text1"/>
          <w:sz w:val="24"/>
        </w:rPr>
        <w:t>（四）质量信用记录</w:t>
      </w:r>
      <w:bookmarkEnd w:id="66"/>
    </w:p>
    <w:p w14:paraId="34DA7978">
      <w:pPr>
        <w:pStyle w:val="9"/>
        <w:spacing w:line="312" w:lineRule="auto"/>
        <w:ind w:firstLine="420" w:firstLineChars="200"/>
        <w:rPr>
          <w:rFonts w:cs="仿宋_GB2312" w:asciiTheme="minorEastAsia" w:hAnsiTheme="minorEastAsia" w:eastAsiaTheme="minorEastAsia"/>
          <w:color w:val="000000" w:themeColor="text1"/>
          <w:szCs w:val="21"/>
        </w:rPr>
      </w:pPr>
      <w:r>
        <w:rPr>
          <w:rFonts w:hint="eastAsia" w:cs="仿宋_GB2312" w:asciiTheme="minorEastAsia" w:hAnsiTheme="minorEastAsia" w:eastAsiaTheme="minorEastAsia"/>
          <w:color w:val="000000" w:themeColor="text1"/>
          <w:szCs w:val="21"/>
        </w:rPr>
        <w:t>公司自建立以来，公司从未出现过重大质量投诉，在历年接受各级质量技术部门的抽检中，合格率均达100%。</w:t>
      </w:r>
      <w:r>
        <w:rPr>
          <w:rFonts w:hint="eastAsia" w:ascii="宋体" w:hAnsi="宋体" w:cs="宋体"/>
          <w:szCs w:val="21"/>
        </w:rPr>
        <w:t>同时公司</w:t>
      </w:r>
      <w:r>
        <w:rPr>
          <w:rFonts w:ascii="宋体" w:hAnsi="宋体" w:cs="宋体"/>
          <w:szCs w:val="21"/>
        </w:rPr>
        <w:t>取得了许多的卓越成绩，多次获得各级政府主管部门和行业协会的表彰和奖励，近</w:t>
      </w:r>
      <w:r>
        <w:rPr>
          <w:rFonts w:hint="eastAsia" w:ascii="宋体" w:hAnsi="宋体" w:cs="宋体"/>
          <w:szCs w:val="21"/>
        </w:rPr>
        <w:t>几</w:t>
      </w:r>
      <w:r>
        <w:rPr>
          <w:rFonts w:ascii="宋体" w:hAnsi="宋体" w:cs="宋体"/>
          <w:szCs w:val="21"/>
        </w:rPr>
        <w:t>年获奖情</w:t>
      </w:r>
      <w:bookmarkStart w:id="68" w:name="_GoBack"/>
      <w:bookmarkEnd w:id="68"/>
      <w:r>
        <w:rPr>
          <w:rFonts w:ascii="宋体" w:hAnsi="宋体" w:cs="宋体"/>
          <w:szCs w:val="21"/>
        </w:rPr>
        <w:t>况如下：</w:t>
      </w:r>
    </w:p>
    <w:p w14:paraId="4A34852B">
      <w:pPr>
        <w:spacing w:beforeLines="50"/>
        <w:jc w:val="center"/>
        <w:rPr>
          <w:rFonts w:cs="仿宋_GB2312" w:asciiTheme="minorEastAsia" w:hAnsiTheme="minorEastAsia" w:eastAsiaTheme="minorEastAsia"/>
          <w:b/>
          <w:bCs/>
          <w:szCs w:val="21"/>
        </w:rPr>
      </w:pPr>
      <w:r>
        <w:rPr>
          <w:rFonts w:hint="eastAsia" w:cs="仿宋_GB2312" w:asciiTheme="minorEastAsia" w:hAnsiTheme="minorEastAsia" w:eastAsiaTheme="minorEastAsia"/>
          <w:b/>
          <w:bCs/>
          <w:szCs w:val="21"/>
        </w:rPr>
        <w:t>图表1</w:t>
      </w:r>
      <w:r>
        <w:rPr>
          <w:rFonts w:hint="eastAsia" w:cs="仿宋_GB2312" w:asciiTheme="minorEastAsia" w:hAnsiTheme="minorEastAsia" w:eastAsiaTheme="minorEastAsia"/>
          <w:b/>
          <w:bCs/>
          <w:szCs w:val="21"/>
          <w:lang w:val="en-US" w:eastAsia="zh-CN"/>
        </w:rPr>
        <w:t>1</w:t>
      </w:r>
      <w:r>
        <w:rPr>
          <w:rFonts w:hint="eastAsia" w:cs="仿宋_GB2312" w:asciiTheme="minorEastAsia" w:hAnsiTheme="minorEastAsia" w:eastAsiaTheme="minorEastAsia"/>
          <w:b/>
          <w:bCs/>
          <w:szCs w:val="21"/>
        </w:rPr>
        <w:t xml:space="preserve"> 近三年获奖情况</w:t>
      </w:r>
    </w:p>
    <w:tbl>
      <w:tblPr>
        <w:tblStyle w:val="23"/>
        <w:tblW w:w="85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3606"/>
        <w:gridCol w:w="1627"/>
        <w:gridCol w:w="3306"/>
      </w:tblGrid>
      <w:tr w14:paraId="6410B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606" w:type="dxa"/>
            <w:tcBorders>
              <w:top w:val="single" w:color="auto" w:sz="4" w:space="0"/>
              <w:left w:val="single" w:color="auto" w:sz="4" w:space="0"/>
            </w:tcBorders>
            <w:shd w:val="clear" w:color="auto" w:fill="DBE5F1"/>
            <w:vAlign w:val="center"/>
          </w:tcPr>
          <w:p w14:paraId="6A014F4E">
            <w:pPr>
              <w:jc w:val="center"/>
              <w:rPr>
                <w:rFonts w:cs="华文中宋" w:asciiTheme="minorEastAsia" w:hAnsiTheme="minorEastAsia" w:eastAsiaTheme="minorEastAsia"/>
                <w:b/>
                <w:bCs/>
                <w:spacing w:val="-4"/>
                <w:szCs w:val="21"/>
              </w:rPr>
            </w:pPr>
            <w:r>
              <w:rPr>
                <w:rFonts w:hint="eastAsia" w:cs="华文中宋" w:asciiTheme="minorEastAsia" w:hAnsiTheme="minorEastAsia" w:eastAsiaTheme="minorEastAsia"/>
                <w:b/>
                <w:bCs/>
                <w:spacing w:val="-4"/>
                <w:szCs w:val="21"/>
              </w:rPr>
              <w:t>获奖名称</w:t>
            </w:r>
          </w:p>
        </w:tc>
        <w:tc>
          <w:tcPr>
            <w:tcW w:w="1627" w:type="dxa"/>
            <w:tcBorders>
              <w:top w:val="single" w:color="auto" w:sz="4" w:space="0"/>
            </w:tcBorders>
            <w:shd w:val="clear" w:color="auto" w:fill="DBE5F1"/>
            <w:vAlign w:val="center"/>
          </w:tcPr>
          <w:p w14:paraId="52D64C2E">
            <w:pPr>
              <w:jc w:val="center"/>
              <w:rPr>
                <w:rFonts w:cs="华文中宋" w:asciiTheme="minorEastAsia" w:hAnsiTheme="minorEastAsia" w:eastAsiaTheme="minorEastAsia"/>
                <w:b/>
                <w:bCs/>
                <w:spacing w:val="-4"/>
                <w:szCs w:val="21"/>
              </w:rPr>
            </w:pPr>
            <w:r>
              <w:rPr>
                <w:rFonts w:hint="eastAsia" w:cs="华文中宋" w:asciiTheme="minorEastAsia" w:hAnsiTheme="minorEastAsia" w:eastAsiaTheme="minorEastAsia"/>
                <w:b/>
                <w:bCs/>
                <w:spacing w:val="-4"/>
                <w:szCs w:val="21"/>
              </w:rPr>
              <w:t>获奖时间</w:t>
            </w:r>
          </w:p>
        </w:tc>
        <w:tc>
          <w:tcPr>
            <w:tcW w:w="3306" w:type="dxa"/>
            <w:tcBorders>
              <w:top w:val="single" w:color="auto" w:sz="4" w:space="0"/>
              <w:right w:val="single" w:color="auto" w:sz="4" w:space="0"/>
            </w:tcBorders>
            <w:shd w:val="clear" w:color="auto" w:fill="DBE5F1"/>
            <w:vAlign w:val="center"/>
          </w:tcPr>
          <w:p w14:paraId="170FD5DD">
            <w:pPr>
              <w:ind w:left="-288" w:leftChars="-137" w:firstLine="213" w:firstLineChars="105"/>
              <w:jc w:val="center"/>
              <w:rPr>
                <w:rFonts w:cs="华文中宋" w:asciiTheme="minorEastAsia" w:hAnsiTheme="minorEastAsia" w:eastAsiaTheme="minorEastAsia"/>
                <w:b/>
                <w:bCs/>
                <w:spacing w:val="-4"/>
                <w:szCs w:val="21"/>
              </w:rPr>
            </w:pPr>
            <w:r>
              <w:rPr>
                <w:rFonts w:hint="eastAsia" w:cs="华文中宋" w:asciiTheme="minorEastAsia" w:hAnsiTheme="minorEastAsia" w:eastAsiaTheme="minorEastAsia"/>
                <w:b/>
                <w:bCs/>
                <w:spacing w:val="-4"/>
                <w:szCs w:val="21"/>
              </w:rPr>
              <w:t>颁奖部门</w:t>
            </w:r>
          </w:p>
        </w:tc>
      </w:tr>
      <w:tr w14:paraId="5EAAB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3606" w:type="dxa"/>
            <w:tcBorders>
              <w:left w:val="single" w:color="auto" w:sz="4" w:space="0"/>
            </w:tcBorders>
            <w:vAlign w:val="center"/>
          </w:tcPr>
          <w:p w14:paraId="63A30C37">
            <w:pPr>
              <w:jc w:val="center"/>
              <w:rPr>
                <w:rFonts w:hint="default"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高新技术企业</w:t>
            </w:r>
          </w:p>
        </w:tc>
        <w:tc>
          <w:tcPr>
            <w:tcW w:w="1627" w:type="dxa"/>
            <w:vAlign w:val="center"/>
          </w:tcPr>
          <w:p w14:paraId="2F2C3F3B">
            <w:pPr>
              <w:jc w:val="center"/>
              <w:rPr>
                <w:rFonts w:hint="default" w:ascii="宋体" w:hAnsi="宋体" w:eastAsia="宋体" w:cs="华文中宋"/>
                <w:spacing w:val="-4"/>
                <w:kern w:val="2"/>
                <w:sz w:val="21"/>
                <w:szCs w:val="21"/>
                <w:lang w:val="en-US" w:eastAsia="zh-CN" w:bidi="ar-SA"/>
              </w:rPr>
            </w:pPr>
            <w:r>
              <w:rPr>
                <w:rFonts w:hint="eastAsia" w:ascii="宋体" w:hAnsi="宋体" w:cs="华文中宋"/>
                <w:spacing w:val="-4"/>
                <w:sz w:val="21"/>
                <w:szCs w:val="21"/>
              </w:rPr>
              <w:t>2</w:t>
            </w:r>
            <w:r>
              <w:rPr>
                <w:rFonts w:hint="eastAsia" w:ascii="宋体" w:hAnsi="宋体" w:cs="华文中宋"/>
                <w:spacing w:val="-4"/>
                <w:sz w:val="21"/>
                <w:szCs w:val="21"/>
                <w:lang w:val="en-US" w:eastAsia="zh-CN"/>
              </w:rPr>
              <w:t>022.12</w:t>
            </w:r>
          </w:p>
        </w:tc>
        <w:tc>
          <w:tcPr>
            <w:tcW w:w="3306" w:type="dxa"/>
            <w:tcBorders>
              <w:right w:val="single" w:color="auto" w:sz="4" w:space="0"/>
            </w:tcBorders>
            <w:vAlign w:val="center"/>
          </w:tcPr>
          <w:p w14:paraId="7CB7669F">
            <w:pPr>
              <w:jc w:val="center"/>
              <w:rPr>
                <w:rFonts w:hint="default" w:ascii="宋体" w:hAnsi="宋体" w:eastAsia="宋体" w:cs="华文中宋"/>
                <w:spacing w:val="-4"/>
                <w:kern w:val="2"/>
                <w:sz w:val="21"/>
                <w:szCs w:val="21"/>
                <w:lang w:val="en-US" w:eastAsia="zh-CN" w:bidi="ar-SA"/>
              </w:rPr>
            </w:pPr>
            <w:r>
              <w:rPr>
                <w:rFonts w:hint="eastAsia" w:ascii="宋体" w:hAnsi="宋体" w:cs="华文中宋"/>
                <w:spacing w:val="-4"/>
                <w:kern w:val="2"/>
                <w:sz w:val="21"/>
                <w:szCs w:val="21"/>
                <w:lang w:val="en-US" w:eastAsia="zh-CN" w:bidi="ar-SA"/>
              </w:rPr>
              <w:t>浙江省科学技术厅</w:t>
            </w:r>
          </w:p>
        </w:tc>
      </w:tr>
      <w:tr w14:paraId="16A5C1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6906DC8D">
            <w:pPr>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浙江省科学技术厅</w:t>
            </w:r>
          </w:p>
        </w:tc>
        <w:tc>
          <w:tcPr>
            <w:tcW w:w="0" w:type="auto"/>
            <w:vAlign w:val="center"/>
          </w:tcPr>
          <w:p w14:paraId="7082388F">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rPr>
              <w:t>2</w:t>
            </w:r>
            <w:r>
              <w:rPr>
                <w:rFonts w:hint="eastAsia" w:ascii="宋体"/>
                <w:color w:val="000000"/>
                <w:sz w:val="21"/>
                <w:szCs w:val="21"/>
                <w:lang w:val="en-US" w:eastAsia="zh-CN"/>
              </w:rPr>
              <w:t>024.1</w:t>
            </w:r>
          </w:p>
        </w:tc>
        <w:tc>
          <w:tcPr>
            <w:tcW w:w="0" w:type="auto"/>
            <w:tcBorders>
              <w:right w:val="single" w:color="auto" w:sz="4" w:space="0"/>
            </w:tcBorders>
            <w:vAlign w:val="center"/>
          </w:tcPr>
          <w:p w14:paraId="44F4CDC7">
            <w:pPr>
              <w:jc w:val="center"/>
              <w:rPr>
                <w:rFonts w:hint="default" w:ascii="Times New Roman" w:hAnsi="Times New Roman" w:eastAsia="宋体" w:cs="Times New Roman"/>
                <w:kern w:val="2"/>
                <w:sz w:val="21"/>
                <w:szCs w:val="21"/>
                <w:lang w:val="en-US" w:eastAsia="zh-CN" w:bidi="ar-SA"/>
              </w:rPr>
            </w:pPr>
            <w:r>
              <w:rPr>
                <w:rFonts w:hint="eastAsia" w:ascii="宋体" w:hAnsi="宋体" w:cs="华文中宋"/>
                <w:spacing w:val="-4"/>
                <w:kern w:val="2"/>
                <w:sz w:val="21"/>
                <w:szCs w:val="21"/>
                <w:lang w:val="en-US" w:eastAsia="zh-CN" w:bidi="ar-SA"/>
              </w:rPr>
              <w:t>浙江省科学技术厅</w:t>
            </w:r>
          </w:p>
        </w:tc>
      </w:tr>
      <w:tr w14:paraId="4D27AD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227A18F5">
            <w:pPr>
              <w:jc w:val="center"/>
              <w:rPr>
                <w:rFonts w:hint="default"/>
                <w:sz w:val="21"/>
                <w:szCs w:val="21"/>
                <w:lang w:val="en-US" w:eastAsia="zh-CN"/>
              </w:rPr>
            </w:pPr>
            <w:r>
              <w:rPr>
                <w:rFonts w:hint="eastAsia"/>
                <w:sz w:val="21"/>
                <w:szCs w:val="21"/>
                <w:lang w:val="en-US" w:eastAsia="zh-CN"/>
              </w:rPr>
              <w:t>诚信民营企业</w:t>
            </w:r>
          </w:p>
        </w:tc>
        <w:tc>
          <w:tcPr>
            <w:tcW w:w="0" w:type="auto"/>
            <w:vAlign w:val="center"/>
          </w:tcPr>
          <w:p w14:paraId="27444933">
            <w:pPr>
              <w:jc w:val="center"/>
              <w:rPr>
                <w:rFonts w:hint="default" w:ascii="宋体" w:eastAsia="宋体"/>
                <w:color w:val="000000"/>
                <w:sz w:val="21"/>
                <w:szCs w:val="21"/>
                <w:lang w:val="en-US" w:eastAsia="zh-CN"/>
              </w:rPr>
            </w:pPr>
            <w:r>
              <w:rPr>
                <w:rFonts w:hint="eastAsia" w:ascii="宋体"/>
                <w:color w:val="000000"/>
                <w:sz w:val="21"/>
                <w:szCs w:val="21"/>
                <w:lang w:val="en-US" w:eastAsia="zh-CN"/>
              </w:rPr>
              <w:t>2024.1</w:t>
            </w:r>
          </w:p>
        </w:tc>
        <w:tc>
          <w:tcPr>
            <w:tcW w:w="0" w:type="auto"/>
            <w:tcBorders>
              <w:right w:val="single" w:color="auto" w:sz="4" w:space="0"/>
            </w:tcBorders>
            <w:vAlign w:val="center"/>
          </w:tcPr>
          <w:p w14:paraId="56F26E3E">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德清县民营企业协会</w:t>
            </w:r>
          </w:p>
        </w:tc>
      </w:tr>
      <w:tr w14:paraId="31C60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7211CC07">
            <w:pPr>
              <w:jc w:val="center"/>
              <w:rPr>
                <w:rFonts w:hint="default"/>
                <w:sz w:val="21"/>
                <w:szCs w:val="21"/>
                <w:lang w:val="en-US" w:eastAsia="zh-CN"/>
              </w:rPr>
            </w:pPr>
            <w:r>
              <w:rPr>
                <w:rFonts w:hint="eastAsia"/>
                <w:sz w:val="21"/>
                <w:szCs w:val="21"/>
                <w:lang w:val="en-US" w:eastAsia="zh-CN"/>
              </w:rPr>
              <w:t>招投标信用等级证书</w:t>
            </w:r>
          </w:p>
        </w:tc>
        <w:tc>
          <w:tcPr>
            <w:tcW w:w="0" w:type="auto"/>
            <w:vAlign w:val="center"/>
          </w:tcPr>
          <w:p w14:paraId="650D7F3D">
            <w:pPr>
              <w:jc w:val="center"/>
              <w:rPr>
                <w:rFonts w:hint="default" w:ascii="宋体"/>
                <w:color w:val="000000"/>
                <w:sz w:val="21"/>
                <w:szCs w:val="21"/>
                <w:lang w:val="en-US" w:eastAsia="zh-CN"/>
              </w:rPr>
            </w:pPr>
            <w:r>
              <w:rPr>
                <w:rFonts w:hint="eastAsia" w:ascii="宋体"/>
                <w:color w:val="000000"/>
                <w:sz w:val="21"/>
                <w:szCs w:val="21"/>
                <w:lang w:val="en-US" w:eastAsia="zh-CN"/>
              </w:rPr>
              <w:t>2023.8</w:t>
            </w:r>
          </w:p>
        </w:tc>
        <w:tc>
          <w:tcPr>
            <w:tcW w:w="0" w:type="auto"/>
            <w:tcBorders>
              <w:right w:val="single" w:color="auto" w:sz="4" w:space="0"/>
            </w:tcBorders>
            <w:vAlign w:val="center"/>
          </w:tcPr>
          <w:p w14:paraId="0F82CE12">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企业标准信用服务平台</w:t>
            </w:r>
          </w:p>
        </w:tc>
      </w:tr>
      <w:tr w14:paraId="2DDB81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0053D337">
            <w:pPr>
              <w:jc w:val="center"/>
              <w:rPr>
                <w:rFonts w:hint="default"/>
                <w:sz w:val="21"/>
                <w:szCs w:val="21"/>
                <w:lang w:val="en-US" w:eastAsia="zh-CN"/>
              </w:rPr>
            </w:pPr>
            <w:r>
              <w:rPr>
                <w:rFonts w:hint="eastAsia"/>
                <w:sz w:val="21"/>
                <w:szCs w:val="21"/>
                <w:lang w:val="en-US" w:eastAsia="zh-CN"/>
              </w:rPr>
              <w:t>重服务守信用企业</w:t>
            </w:r>
          </w:p>
        </w:tc>
        <w:tc>
          <w:tcPr>
            <w:tcW w:w="0" w:type="auto"/>
            <w:shd w:val="clear" w:color="auto" w:fill="auto"/>
            <w:vAlign w:val="center"/>
          </w:tcPr>
          <w:p w14:paraId="496CF561">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2023.8</w:t>
            </w:r>
          </w:p>
        </w:tc>
        <w:tc>
          <w:tcPr>
            <w:tcW w:w="0" w:type="auto"/>
            <w:tcBorders>
              <w:right w:val="single" w:color="auto" w:sz="4" w:space="0"/>
            </w:tcBorders>
            <w:shd w:val="clear" w:color="auto" w:fill="auto"/>
            <w:vAlign w:val="center"/>
          </w:tcPr>
          <w:p w14:paraId="0CBF3298">
            <w:pPr>
              <w:jc w:val="center"/>
              <w:rPr>
                <w:rFonts w:hint="default"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企业标准信用服务平台</w:t>
            </w:r>
          </w:p>
        </w:tc>
      </w:tr>
      <w:tr w14:paraId="7CA5B7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shd w:val="clear" w:color="auto" w:fill="auto"/>
            <w:vAlign w:val="center"/>
          </w:tcPr>
          <w:p w14:paraId="4FFEB9C2">
            <w:pPr>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重合同守信用企业</w:t>
            </w:r>
          </w:p>
        </w:tc>
        <w:tc>
          <w:tcPr>
            <w:tcW w:w="0" w:type="auto"/>
            <w:shd w:val="clear" w:color="auto" w:fill="auto"/>
            <w:vAlign w:val="center"/>
          </w:tcPr>
          <w:p w14:paraId="79171ED0">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2023.8</w:t>
            </w:r>
          </w:p>
        </w:tc>
        <w:tc>
          <w:tcPr>
            <w:tcW w:w="0" w:type="auto"/>
            <w:tcBorders>
              <w:right w:val="single" w:color="auto" w:sz="4" w:space="0"/>
            </w:tcBorders>
            <w:shd w:val="clear" w:color="auto" w:fill="auto"/>
            <w:vAlign w:val="center"/>
          </w:tcPr>
          <w:p w14:paraId="13F6F059">
            <w:pPr>
              <w:jc w:val="center"/>
              <w:rPr>
                <w:rFonts w:hint="default"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企业标准信用服务平台</w:t>
            </w:r>
          </w:p>
        </w:tc>
      </w:tr>
      <w:tr w14:paraId="2FB87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614A45E9">
            <w:pPr>
              <w:jc w:val="center"/>
              <w:rPr>
                <w:rFonts w:hint="default"/>
                <w:sz w:val="21"/>
                <w:szCs w:val="21"/>
                <w:lang w:val="en-US" w:eastAsia="zh-CN"/>
              </w:rPr>
            </w:pPr>
            <w:r>
              <w:rPr>
                <w:rFonts w:hint="eastAsia"/>
                <w:sz w:val="21"/>
                <w:szCs w:val="21"/>
                <w:lang w:val="en-US" w:eastAsia="zh-CN"/>
              </w:rPr>
              <w:t>质量管理体系证书</w:t>
            </w:r>
          </w:p>
        </w:tc>
        <w:tc>
          <w:tcPr>
            <w:tcW w:w="0" w:type="auto"/>
            <w:vAlign w:val="center"/>
          </w:tcPr>
          <w:p w14:paraId="51C4F75D">
            <w:pPr>
              <w:jc w:val="center"/>
              <w:rPr>
                <w:rFonts w:hint="default" w:ascii="宋体"/>
                <w:color w:val="000000"/>
                <w:sz w:val="21"/>
                <w:szCs w:val="21"/>
                <w:lang w:val="en-US" w:eastAsia="zh-CN"/>
              </w:rPr>
            </w:pPr>
            <w:r>
              <w:rPr>
                <w:rFonts w:hint="eastAsia" w:ascii="宋体"/>
                <w:color w:val="000000"/>
                <w:sz w:val="21"/>
                <w:szCs w:val="21"/>
                <w:lang w:val="en-US" w:eastAsia="zh-CN"/>
              </w:rPr>
              <w:t>2024.2</w:t>
            </w:r>
          </w:p>
        </w:tc>
        <w:tc>
          <w:tcPr>
            <w:tcW w:w="0" w:type="auto"/>
            <w:tcBorders>
              <w:right w:val="single" w:color="auto" w:sz="4" w:space="0"/>
            </w:tcBorders>
            <w:vAlign w:val="center"/>
          </w:tcPr>
          <w:p w14:paraId="71CA2442">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浙江全品认证有限公司</w:t>
            </w:r>
          </w:p>
        </w:tc>
      </w:tr>
      <w:tr w14:paraId="1ECB9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027B611C">
            <w:pPr>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环境管理体系证书</w:t>
            </w:r>
          </w:p>
        </w:tc>
        <w:tc>
          <w:tcPr>
            <w:tcW w:w="0" w:type="auto"/>
            <w:vAlign w:val="center"/>
          </w:tcPr>
          <w:p w14:paraId="3955F547">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2024.7</w:t>
            </w:r>
          </w:p>
        </w:tc>
        <w:tc>
          <w:tcPr>
            <w:tcW w:w="0" w:type="auto"/>
            <w:tcBorders>
              <w:right w:val="single" w:color="auto" w:sz="4" w:space="0"/>
            </w:tcBorders>
            <w:vAlign w:val="center"/>
          </w:tcPr>
          <w:p w14:paraId="7FC252D9">
            <w:pPr>
              <w:jc w:val="center"/>
              <w:rPr>
                <w:rFonts w:hint="eastAsia"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浙江全品认证有限公司</w:t>
            </w:r>
          </w:p>
        </w:tc>
      </w:tr>
      <w:tr w14:paraId="4AC4B3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38CF5ED4">
            <w:pPr>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职业健康安全管理体系证书</w:t>
            </w:r>
          </w:p>
        </w:tc>
        <w:tc>
          <w:tcPr>
            <w:tcW w:w="0" w:type="auto"/>
            <w:vAlign w:val="center"/>
          </w:tcPr>
          <w:p w14:paraId="3A22C460">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2024.2</w:t>
            </w:r>
          </w:p>
        </w:tc>
        <w:tc>
          <w:tcPr>
            <w:tcW w:w="0" w:type="auto"/>
            <w:tcBorders>
              <w:right w:val="single" w:color="auto" w:sz="4" w:space="0"/>
            </w:tcBorders>
            <w:vAlign w:val="center"/>
          </w:tcPr>
          <w:p w14:paraId="64BD46ED">
            <w:pPr>
              <w:jc w:val="center"/>
              <w:rPr>
                <w:rFonts w:hint="eastAsia"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浙江全品认证有限公司</w:t>
            </w:r>
          </w:p>
        </w:tc>
      </w:tr>
      <w:tr w14:paraId="17D1F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0695F3D7">
            <w:pPr>
              <w:jc w:val="center"/>
              <w:rPr>
                <w:rFonts w:hint="default"/>
                <w:sz w:val="21"/>
                <w:szCs w:val="21"/>
                <w:lang w:val="en-US" w:eastAsia="zh-CN"/>
              </w:rPr>
            </w:pPr>
            <w:r>
              <w:rPr>
                <w:rFonts w:hint="eastAsia"/>
                <w:sz w:val="21"/>
                <w:szCs w:val="21"/>
                <w:lang w:val="en-US" w:eastAsia="zh-CN"/>
              </w:rPr>
              <w:t>质量服务诚信企业</w:t>
            </w:r>
          </w:p>
        </w:tc>
        <w:tc>
          <w:tcPr>
            <w:tcW w:w="0" w:type="auto"/>
            <w:shd w:val="clear" w:color="auto" w:fill="auto"/>
            <w:vAlign w:val="center"/>
          </w:tcPr>
          <w:p w14:paraId="5E5D847E">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2023.8</w:t>
            </w:r>
          </w:p>
        </w:tc>
        <w:tc>
          <w:tcPr>
            <w:tcW w:w="0" w:type="auto"/>
            <w:tcBorders>
              <w:right w:val="single" w:color="auto" w:sz="4" w:space="0"/>
            </w:tcBorders>
            <w:shd w:val="clear" w:color="auto" w:fill="auto"/>
            <w:vAlign w:val="center"/>
          </w:tcPr>
          <w:p w14:paraId="6418E89F">
            <w:pPr>
              <w:jc w:val="center"/>
              <w:rPr>
                <w:rFonts w:hint="default"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企业标准信用服务平台</w:t>
            </w:r>
          </w:p>
        </w:tc>
      </w:tr>
      <w:tr w14:paraId="7DFBF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0DF2DC49">
            <w:pPr>
              <w:jc w:val="center"/>
              <w:rPr>
                <w:rFonts w:hint="default"/>
                <w:sz w:val="21"/>
                <w:szCs w:val="21"/>
                <w:lang w:val="en-US" w:eastAsia="zh-CN"/>
              </w:rPr>
            </w:pPr>
            <w:r>
              <w:rPr>
                <w:rFonts w:hint="eastAsia"/>
                <w:sz w:val="21"/>
                <w:szCs w:val="21"/>
                <w:lang w:val="en-US" w:eastAsia="zh-CN"/>
              </w:rPr>
              <w:t>诚信经营示范单位</w:t>
            </w:r>
          </w:p>
        </w:tc>
        <w:tc>
          <w:tcPr>
            <w:tcW w:w="0" w:type="auto"/>
            <w:shd w:val="clear" w:color="auto" w:fill="auto"/>
            <w:vAlign w:val="center"/>
          </w:tcPr>
          <w:p w14:paraId="7ED87A6E">
            <w:pPr>
              <w:jc w:val="center"/>
              <w:rPr>
                <w:rFonts w:hint="default"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2023.8</w:t>
            </w:r>
          </w:p>
        </w:tc>
        <w:tc>
          <w:tcPr>
            <w:tcW w:w="0" w:type="auto"/>
            <w:tcBorders>
              <w:right w:val="single" w:color="auto" w:sz="4" w:space="0"/>
            </w:tcBorders>
            <w:shd w:val="clear" w:color="auto" w:fill="auto"/>
            <w:vAlign w:val="center"/>
          </w:tcPr>
          <w:p w14:paraId="625BD634">
            <w:pPr>
              <w:jc w:val="center"/>
              <w:rPr>
                <w:rFonts w:hint="eastAsia"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企业标准信用服务平台</w:t>
            </w:r>
          </w:p>
        </w:tc>
      </w:tr>
      <w:tr w14:paraId="09FD7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1BE6A3AE">
            <w:pPr>
              <w:jc w:val="center"/>
              <w:rPr>
                <w:rFonts w:hint="default"/>
                <w:sz w:val="21"/>
                <w:szCs w:val="21"/>
                <w:lang w:val="en-US" w:eastAsia="zh-CN"/>
              </w:rPr>
            </w:pPr>
            <w:r>
              <w:rPr>
                <w:rFonts w:hint="eastAsia"/>
                <w:sz w:val="21"/>
                <w:szCs w:val="21"/>
                <w:lang w:val="en-US" w:eastAsia="zh-CN"/>
              </w:rPr>
              <w:t>企业资信等级证书</w:t>
            </w:r>
          </w:p>
        </w:tc>
        <w:tc>
          <w:tcPr>
            <w:tcW w:w="0" w:type="auto"/>
            <w:shd w:val="clear" w:color="auto" w:fill="auto"/>
            <w:vAlign w:val="center"/>
          </w:tcPr>
          <w:p w14:paraId="65157C37">
            <w:pPr>
              <w:jc w:val="center"/>
              <w:rPr>
                <w:rFonts w:hint="eastAsia"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2023.8</w:t>
            </w:r>
          </w:p>
        </w:tc>
        <w:tc>
          <w:tcPr>
            <w:tcW w:w="0" w:type="auto"/>
            <w:tcBorders>
              <w:right w:val="single" w:color="auto" w:sz="4" w:space="0"/>
            </w:tcBorders>
            <w:shd w:val="clear" w:color="auto" w:fill="auto"/>
            <w:vAlign w:val="center"/>
          </w:tcPr>
          <w:p w14:paraId="0B51F68B">
            <w:pPr>
              <w:jc w:val="center"/>
              <w:rPr>
                <w:rFonts w:hint="eastAsia"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企业标准信用服务平台</w:t>
            </w:r>
          </w:p>
        </w:tc>
      </w:tr>
      <w:tr w14:paraId="343BE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51F727BF">
            <w:pPr>
              <w:jc w:val="center"/>
              <w:rPr>
                <w:rFonts w:hint="default"/>
                <w:sz w:val="21"/>
                <w:szCs w:val="21"/>
                <w:lang w:val="en-US" w:eastAsia="zh-CN"/>
              </w:rPr>
            </w:pPr>
            <w:r>
              <w:rPr>
                <w:rFonts w:hint="eastAsia"/>
                <w:sz w:val="21"/>
                <w:szCs w:val="21"/>
                <w:lang w:val="en-US" w:eastAsia="zh-CN"/>
              </w:rPr>
              <w:t>企业信用等级证书</w:t>
            </w:r>
          </w:p>
        </w:tc>
        <w:tc>
          <w:tcPr>
            <w:tcW w:w="0" w:type="auto"/>
            <w:shd w:val="clear" w:color="auto" w:fill="auto"/>
            <w:vAlign w:val="center"/>
          </w:tcPr>
          <w:p w14:paraId="3C6C3A1F">
            <w:pPr>
              <w:jc w:val="center"/>
              <w:rPr>
                <w:rFonts w:hint="eastAsia" w:ascii="宋体" w:hAnsi="Times New Roman" w:eastAsia="宋体" w:cs="Times New Roman"/>
                <w:color w:val="000000"/>
                <w:kern w:val="2"/>
                <w:sz w:val="21"/>
                <w:szCs w:val="21"/>
                <w:lang w:val="en-US" w:eastAsia="zh-CN" w:bidi="ar-SA"/>
              </w:rPr>
            </w:pPr>
            <w:r>
              <w:rPr>
                <w:rFonts w:hint="eastAsia" w:ascii="宋体"/>
                <w:color w:val="000000"/>
                <w:sz w:val="21"/>
                <w:szCs w:val="21"/>
                <w:lang w:val="en-US" w:eastAsia="zh-CN"/>
              </w:rPr>
              <w:t>2023.8</w:t>
            </w:r>
          </w:p>
        </w:tc>
        <w:tc>
          <w:tcPr>
            <w:tcW w:w="0" w:type="auto"/>
            <w:tcBorders>
              <w:right w:val="single" w:color="auto" w:sz="4" w:space="0"/>
            </w:tcBorders>
            <w:shd w:val="clear" w:color="auto" w:fill="auto"/>
            <w:vAlign w:val="center"/>
          </w:tcPr>
          <w:p w14:paraId="54DB83EF">
            <w:pPr>
              <w:jc w:val="center"/>
              <w:rPr>
                <w:rFonts w:hint="eastAsia" w:ascii="宋体" w:hAnsi="宋体" w:eastAsia="宋体" w:cs="华文中宋"/>
                <w:spacing w:val="-4"/>
                <w:kern w:val="2"/>
                <w:sz w:val="21"/>
                <w:szCs w:val="21"/>
                <w:lang w:val="en-US" w:eastAsia="zh-CN" w:bidi="ar-SA"/>
              </w:rPr>
            </w:pPr>
            <w:r>
              <w:rPr>
                <w:rFonts w:hint="eastAsia" w:ascii="宋体" w:hAnsi="宋体" w:cs="华文中宋"/>
                <w:spacing w:val="-4"/>
                <w:sz w:val="21"/>
                <w:szCs w:val="21"/>
                <w:lang w:val="en-US" w:eastAsia="zh-CN"/>
              </w:rPr>
              <w:t>企业标准信用服务平台</w:t>
            </w:r>
          </w:p>
        </w:tc>
      </w:tr>
      <w:tr w14:paraId="29493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5705ED2D">
            <w:pPr>
              <w:jc w:val="center"/>
              <w:rPr>
                <w:rFonts w:hint="default"/>
                <w:sz w:val="21"/>
                <w:szCs w:val="21"/>
                <w:lang w:val="en-US" w:eastAsia="zh-CN"/>
              </w:rPr>
            </w:pPr>
            <w:r>
              <w:rPr>
                <w:rFonts w:hint="eastAsia"/>
                <w:sz w:val="21"/>
                <w:szCs w:val="21"/>
                <w:lang w:val="en-US" w:eastAsia="zh-CN"/>
              </w:rPr>
              <w:t>科技创新新苗奖</w:t>
            </w:r>
          </w:p>
        </w:tc>
        <w:tc>
          <w:tcPr>
            <w:tcW w:w="0" w:type="auto"/>
            <w:shd w:val="clear" w:color="auto" w:fill="auto"/>
            <w:vAlign w:val="center"/>
          </w:tcPr>
          <w:p w14:paraId="69F079AE">
            <w:pPr>
              <w:jc w:val="center"/>
              <w:rPr>
                <w:rFonts w:hint="default" w:ascii="宋体"/>
                <w:color w:val="000000"/>
                <w:sz w:val="21"/>
                <w:szCs w:val="21"/>
                <w:lang w:val="en-US" w:eastAsia="zh-CN"/>
              </w:rPr>
            </w:pPr>
            <w:r>
              <w:rPr>
                <w:rFonts w:hint="eastAsia" w:ascii="宋体"/>
                <w:color w:val="000000"/>
                <w:sz w:val="21"/>
                <w:szCs w:val="21"/>
                <w:lang w:val="en-US" w:eastAsia="zh-CN"/>
              </w:rPr>
              <w:t>2022.2</w:t>
            </w:r>
          </w:p>
        </w:tc>
        <w:tc>
          <w:tcPr>
            <w:tcW w:w="0" w:type="auto"/>
            <w:tcBorders>
              <w:right w:val="single" w:color="auto" w:sz="4" w:space="0"/>
            </w:tcBorders>
            <w:shd w:val="clear" w:color="auto" w:fill="auto"/>
            <w:vAlign w:val="center"/>
          </w:tcPr>
          <w:p w14:paraId="5ED36A46">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新市镇人民政府</w:t>
            </w:r>
          </w:p>
        </w:tc>
      </w:tr>
      <w:tr w14:paraId="1F7AE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3AF19A82">
            <w:pPr>
              <w:jc w:val="center"/>
              <w:rPr>
                <w:rFonts w:hint="default"/>
                <w:sz w:val="21"/>
                <w:szCs w:val="21"/>
                <w:lang w:val="en-US" w:eastAsia="zh-CN"/>
              </w:rPr>
            </w:pPr>
            <w:r>
              <w:rPr>
                <w:rFonts w:hint="eastAsia"/>
                <w:sz w:val="21"/>
                <w:szCs w:val="21"/>
                <w:lang w:val="en-US" w:eastAsia="zh-CN"/>
              </w:rPr>
              <w:t>3c证书</w:t>
            </w:r>
          </w:p>
        </w:tc>
        <w:tc>
          <w:tcPr>
            <w:tcW w:w="0" w:type="auto"/>
            <w:shd w:val="clear" w:color="auto" w:fill="auto"/>
            <w:vAlign w:val="center"/>
          </w:tcPr>
          <w:p w14:paraId="257EC960">
            <w:pPr>
              <w:jc w:val="center"/>
              <w:rPr>
                <w:rFonts w:hint="default" w:ascii="宋体"/>
                <w:color w:val="000000"/>
                <w:sz w:val="21"/>
                <w:szCs w:val="21"/>
                <w:lang w:val="en-US" w:eastAsia="zh-CN"/>
              </w:rPr>
            </w:pPr>
            <w:r>
              <w:rPr>
                <w:rFonts w:hint="eastAsia" w:ascii="宋体"/>
                <w:color w:val="000000"/>
                <w:sz w:val="21"/>
                <w:szCs w:val="21"/>
                <w:lang w:val="en-US" w:eastAsia="zh-CN"/>
              </w:rPr>
              <w:t>2023.2</w:t>
            </w:r>
          </w:p>
        </w:tc>
        <w:tc>
          <w:tcPr>
            <w:tcW w:w="0" w:type="auto"/>
            <w:tcBorders>
              <w:right w:val="single" w:color="auto" w:sz="4" w:space="0"/>
            </w:tcBorders>
            <w:shd w:val="clear" w:color="auto" w:fill="auto"/>
            <w:vAlign w:val="center"/>
          </w:tcPr>
          <w:p w14:paraId="0AB5CDB1">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中国质量认证中心</w:t>
            </w:r>
          </w:p>
        </w:tc>
      </w:tr>
      <w:tr w14:paraId="2F6E2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034454A5">
            <w:pPr>
              <w:jc w:val="center"/>
              <w:rPr>
                <w:rFonts w:hint="default"/>
                <w:sz w:val="21"/>
                <w:szCs w:val="21"/>
                <w:lang w:val="en-US" w:eastAsia="zh-CN"/>
              </w:rPr>
            </w:pPr>
            <w:r>
              <w:rPr>
                <w:rFonts w:hint="eastAsia"/>
                <w:sz w:val="21"/>
                <w:szCs w:val="21"/>
                <w:lang w:val="en-US" w:eastAsia="zh-CN"/>
              </w:rPr>
              <w:t>湖州市二星级绿色工厂</w:t>
            </w:r>
          </w:p>
        </w:tc>
        <w:tc>
          <w:tcPr>
            <w:tcW w:w="0" w:type="auto"/>
            <w:shd w:val="clear" w:color="auto" w:fill="auto"/>
            <w:vAlign w:val="center"/>
          </w:tcPr>
          <w:p w14:paraId="5B2617CC">
            <w:pPr>
              <w:jc w:val="center"/>
              <w:rPr>
                <w:rFonts w:hint="default" w:ascii="宋体"/>
                <w:color w:val="000000"/>
                <w:sz w:val="21"/>
                <w:szCs w:val="21"/>
                <w:lang w:val="en-US" w:eastAsia="zh-CN"/>
              </w:rPr>
            </w:pPr>
            <w:r>
              <w:rPr>
                <w:rFonts w:hint="eastAsia" w:ascii="宋体"/>
                <w:color w:val="000000"/>
                <w:sz w:val="21"/>
                <w:szCs w:val="21"/>
                <w:lang w:val="en-US" w:eastAsia="zh-CN"/>
              </w:rPr>
              <w:t>2018年度</w:t>
            </w:r>
          </w:p>
        </w:tc>
        <w:tc>
          <w:tcPr>
            <w:tcW w:w="0" w:type="auto"/>
            <w:tcBorders>
              <w:right w:val="single" w:color="auto" w:sz="4" w:space="0"/>
            </w:tcBorders>
            <w:shd w:val="clear" w:color="auto" w:fill="auto"/>
            <w:vAlign w:val="center"/>
          </w:tcPr>
          <w:p w14:paraId="1CE02679">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建设工作领导小组办公室</w:t>
            </w:r>
          </w:p>
        </w:tc>
      </w:tr>
      <w:tr w14:paraId="5247A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1196BB5E">
            <w:pPr>
              <w:jc w:val="center"/>
              <w:rPr>
                <w:rFonts w:hint="default"/>
                <w:sz w:val="21"/>
                <w:szCs w:val="21"/>
                <w:lang w:val="en-US" w:eastAsia="zh-CN"/>
              </w:rPr>
            </w:pPr>
            <w:r>
              <w:rPr>
                <w:rFonts w:hint="eastAsia"/>
                <w:sz w:val="21"/>
                <w:szCs w:val="21"/>
                <w:lang w:val="en-US" w:eastAsia="zh-CN"/>
              </w:rPr>
              <w:t>项目推进奖</w:t>
            </w:r>
          </w:p>
        </w:tc>
        <w:tc>
          <w:tcPr>
            <w:tcW w:w="0" w:type="auto"/>
            <w:shd w:val="clear" w:color="auto" w:fill="auto"/>
            <w:vAlign w:val="center"/>
          </w:tcPr>
          <w:p w14:paraId="409B7359">
            <w:pPr>
              <w:jc w:val="center"/>
              <w:rPr>
                <w:rFonts w:hint="default" w:ascii="宋体"/>
                <w:color w:val="000000"/>
                <w:sz w:val="21"/>
                <w:szCs w:val="21"/>
                <w:lang w:val="en-US" w:eastAsia="zh-CN"/>
              </w:rPr>
            </w:pPr>
            <w:r>
              <w:rPr>
                <w:rFonts w:hint="eastAsia" w:ascii="宋体"/>
                <w:color w:val="000000"/>
                <w:sz w:val="21"/>
                <w:szCs w:val="21"/>
                <w:lang w:val="en-US" w:eastAsia="zh-CN"/>
              </w:rPr>
              <w:t>2022.2</w:t>
            </w:r>
          </w:p>
        </w:tc>
        <w:tc>
          <w:tcPr>
            <w:tcW w:w="0" w:type="auto"/>
            <w:tcBorders>
              <w:right w:val="single" w:color="auto" w:sz="4" w:space="0"/>
            </w:tcBorders>
            <w:shd w:val="clear" w:color="auto" w:fill="auto"/>
            <w:vAlign w:val="center"/>
          </w:tcPr>
          <w:p w14:paraId="5C4946EC">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新市镇人民政府</w:t>
            </w:r>
          </w:p>
        </w:tc>
      </w:tr>
      <w:tr w14:paraId="0488D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7433D1D2">
            <w:pPr>
              <w:jc w:val="center"/>
              <w:rPr>
                <w:rFonts w:hint="default"/>
                <w:sz w:val="21"/>
                <w:szCs w:val="21"/>
                <w:lang w:val="en-US" w:eastAsia="zh-CN"/>
              </w:rPr>
            </w:pPr>
            <w:r>
              <w:rPr>
                <w:rFonts w:hint="eastAsia"/>
                <w:sz w:val="21"/>
                <w:szCs w:val="21"/>
                <w:lang w:val="en-US" w:eastAsia="zh-CN"/>
              </w:rPr>
              <w:t>诚信奖</w:t>
            </w:r>
          </w:p>
        </w:tc>
        <w:tc>
          <w:tcPr>
            <w:tcW w:w="0" w:type="auto"/>
            <w:shd w:val="clear" w:color="auto" w:fill="auto"/>
            <w:vAlign w:val="center"/>
          </w:tcPr>
          <w:p w14:paraId="616D8C8F">
            <w:pPr>
              <w:jc w:val="center"/>
              <w:rPr>
                <w:rFonts w:hint="default" w:ascii="宋体"/>
                <w:color w:val="000000"/>
                <w:sz w:val="21"/>
                <w:szCs w:val="21"/>
                <w:lang w:val="en-US" w:eastAsia="zh-CN"/>
              </w:rPr>
            </w:pPr>
            <w:r>
              <w:rPr>
                <w:rFonts w:hint="eastAsia" w:ascii="宋体"/>
                <w:color w:val="000000"/>
                <w:sz w:val="21"/>
                <w:szCs w:val="21"/>
                <w:lang w:val="en-US" w:eastAsia="zh-CN"/>
              </w:rPr>
              <w:t>2015.12</w:t>
            </w:r>
          </w:p>
        </w:tc>
        <w:tc>
          <w:tcPr>
            <w:tcW w:w="0" w:type="auto"/>
            <w:tcBorders>
              <w:right w:val="single" w:color="auto" w:sz="4" w:space="0"/>
            </w:tcBorders>
            <w:shd w:val="clear" w:color="auto" w:fill="auto"/>
            <w:vAlign w:val="center"/>
          </w:tcPr>
          <w:p w14:paraId="40BA0D7F">
            <w:pPr>
              <w:jc w:val="center"/>
              <w:rPr>
                <w:rFonts w:hint="default" w:ascii="宋体" w:hAnsi="宋体" w:cs="华文中宋"/>
                <w:spacing w:val="-4"/>
                <w:sz w:val="21"/>
                <w:szCs w:val="21"/>
                <w:lang w:val="en-US" w:eastAsia="zh-CN"/>
              </w:rPr>
            </w:pPr>
            <w:r>
              <w:rPr>
                <w:rFonts w:hint="eastAsia" w:ascii="宋体" w:hAnsi="宋体" w:cs="华文中宋"/>
                <w:spacing w:val="-4"/>
                <w:sz w:val="21"/>
                <w:szCs w:val="21"/>
                <w:lang w:val="en-US" w:eastAsia="zh-CN"/>
              </w:rPr>
              <w:t>浙江省电线电缆行业协会</w:t>
            </w:r>
          </w:p>
        </w:tc>
      </w:tr>
      <w:tr w14:paraId="5739B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tcBorders>
            <w:vAlign w:val="center"/>
          </w:tcPr>
          <w:p w14:paraId="41E5C228">
            <w:pPr>
              <w:jc w:val="center"/>
              <w:rPr>
                <w:rFonts w:hint="default"/>
                <w:sz w:val="21"/>
                <w:szCs w:val="21"/>
                <w:lang w:val="en-US" w:eastAsia="zh-CN"/>
              </w:rPr>
            </w:pPr>
            <w:r>
              <w:rPr>
                <w:rFonts w:hint="eastAsia"/>
                <w:sz w:val="21"/>
                <w:szCs w:val="21"/>
                <w:lang w:val="en-US" w:eastAsia="zh-CN"/>
              </w:rPr>
              <w:t>对外开放贡献奖</w:t>
            </w:r>
          </w:p>
        </w:tc>
        <w:tc>
          <w:tcPr>
            <w:tcW w:w="0" w:type="auto"/>
            <w:shd w:val="clear" w:color="auto" w:fill="auto"/>
            <w:vAlign w:val="center"/>
          </w:tcPr>
          <w:p w14:paraId="133DD82E">
            <w:pPr>
              <w:jc w:val="center"/>
              <w:rPr>
                <w:rFonts w:hint="default" w:ascii="宋体"/>
                <w:color w:val="000000"/>
                <w:sz w:val="21"/>
                <w:szCs w:val="21"/>
                <w:lang w:val="en-US" w:eastAsia="zh-CN"/>
              </w:rPr>
            </w:pPr>
            <w:r>
              <w:rPr>
                <w:rFonts w:hint="eastAsia" w:ascii="宋体"/>
                <w:color w:val="000000"/>
                <w:sz w:val="21"/>
                <w:szCs w:val="21"/>
                <w:lang w:val="en-US" w:eastAsia="zh-CN"/>
              </w:rPr>
              <w:t>2022.2</w:t>
            </w:r>
          </w:p>
        </w:tc>
        <w:tc>
          <w:tcPr>
            <w:tcW w:w="0" w:type="auto"/>
            <w:tcBorders>
              <w:right w:val="single" w:color="auto" w:sz="4" w:space="0"/>
            </w:tcBorders>
            <w:shd w:val="clear" w:color="auto" w:fill="auto"/>
            <w:vAlign w:val="center"/>
          </w:tcPr>
          <w:p w14:paraId="09810CB5">
            <w:pPr>
              <w:jc w:val="center"/>
              <w:rPr>
                <w:rFonts w:hint="eastAsia" w:ascii="宋体" w:hAnsi="宋体" w:cs="华文中宋"/>
                <w:spacing w:val="-4"/>
                <w:sz w:val="21"/>
                <w:szCs w:val="21"/>
                <w:lang w:val="en-US" w:eastAsia="zh-CN"/>
              </w:rPr>
            </w:pPr>
            <w:r>
              <w:rPr>
                <w:rFonts w:hint="eastAsia" w:ascii="宋体" w:hAnsi="宋体" w:cs="华文中宋"/>
                <w:spacing w:val="-4"/>
                <w:sz w:val="21"/>
                <w:szCs w:val="21"/>
                <w:lang w:val="en-US" w:eastAsia="zh-CN"/>
              </w:rPr>
              <w:t>新市镇人民政府</w:t>
            </w:r>
          </w:p>
        </w:tc>
      </w:tr>
      <w:tr w14:paraId="04DCF1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0" w:type="auto"/>
            <w:tcBorders>
              <w:left w:val="single" w:color="auto" w:sz="4" w:space="0"/>
              <w:bottom w:val="single" w:color="auto" w:sz="4" w:space="0"/>
            </w:tcBorders>
            <w:vAlign w:val="center"/>
          </w:tcPr>
          <w:p w14:paraId="3A4B67C3">
            <w:pPr>
              <w:jc w:val="center"/>
              <w:rPr>
                <w:rFonts w:hint="default"/>
                <w:sz w:val="21"/>
                <w:szCs w:val="21"/>
                <w:lang w:val="en-US" w:eastAsia="zh-CN"/>
              </w:rPr>
            </w:pPr>
            <w:r>
              <w:rPr>
                <w:rFonts w:hint="eastAsia"/>
                <w:sz w:val="21"/>
                <w:szCs w:val="21"/>
                <w:lang w:val="en-US" w:eastAsia="zh-CN"/>
              </w:rPr>
              <w:t>科技创新提升奖</w:t>
            </w:r>
          </w:p>
        </w:tc>
        <w:tc>
          <w:tcPr>
            <w:tcW w:w="0" w:type="auto"/>
            <w:tcBorders>
              <w:bottom w:val="single" w:color="auto" w:sz="4" w:space="0"/>
            </w:tcBorders>
            <w:shd w:val="clear" w:color="auto" w:fill="auto"/>
            <w:vAlign w:val="center"/>
          </w:tcPr>
          <w:p w14:paraId="783E3616">
            <w:pPr>
              <w:jc w:val="center"/>
              <w:rPr>
                <w:rFonts w:hint="default" w:ascii="宋体"/>
                <w:color w:val="000000"/>
                <w:sz w:val="21"/>
                <w:szCs w:val="21"/>
                <w:lang w:val="en-US" w:eastAsia="zh-CN"/>
              </w:rPr>
            </w:pPr>
            <w:r>
              <w:rPr>
                <w:rFonts w:hint="eastAsia" w:ascii="宋体"/>
                <w:color w:val="000000"/>
                <w:sz w:val="21"/>
                <w:szCs w:val="21"/>
                <w:lang w:val="en-US" w:eastAsia="zh-CN"/>
              </w:rPr>
              <w:t>2023.1</w:t>
            </w:r>
          </w:p>
        </w:tc>
        <w:tc>
          <w:tcPr>
            <w:tcW w:w="0" w:type="auto"/>
            <w:tcBorders>
              <w:bottom w:val="single" w:color="auto" w:sz="4" w:space="0"/>
              <w:right w:val="single" w:color="auto" w:sz="4" w:space="0"/>
            </w:tcBorders>
            <w:shd w:val="clear" w:color="auto" w:fill="auto"/>
            <w:vAlign w:val="center"/>
          </w:tcPr>
          <w:p w14:paraId="3399C640">
            <w:pPr>
              <w:jc w:val="center"/>
              <w:rPr>
                <w:rFonts w:hint="eastAsia" w:ascii="宋体" w:hAnsi="宋体" w:cs="华文中宋"/>
                <w:spacing w:val="-4"/>
                <w:sz w:val="21"/>
                <w:szCs w:val="21"/>
                <w:lang w:val="en-US" w:eastAsia="zh-CN"/>
              </w:rPr>
            </w:pPr>
            <w:r>
              <w:rPr>
                <w:rFonts w:hint="eastAsia" w:ascii="宋体" w:hAnsi="宋体" w:cs="华文中宋"/>
                <w:spacing w:val="-4"/>
                <w:sz w:val="21"/>
                <w:szCs w:val="21"/>
                <w:lang w:val="en-US" w:eastAsia="zh-CN"/>
              </w:rPr>
              <w:t>新市镇人民政府</w:t>
            </w:r>
          </w:p>
        </w:tc>
      </w:tr>
    </w:tbl>
    <w:p w14:paraId="02061D14">
      <w:pPr>
        <w:spacing w:line="360" w:lineRule="auto"/>
        <w:rPr>
          <w:rFonts w:cs="仿宋_GB2312" w:asciiTheme="minorEastAsia" w:hAnsiTheme="minorEastAsia" w:eastAsiaTheme="minorEastAsia"/>
          <w:b/>
          <w:bCs/>
          <w:color w:val="000000" w:themeColor="text1"/>
          <w:sz w:val="44"/>
          <w:szCs w:val="44"/>
        </w:rPr>
      </w:pPr>
    </w:p>
    <w:p w14:paraId="380512A0">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Times New Roman"/>
          <w:b/>
          <w:bCs/>
          <w:kern w:val="2"/>
          <w:sz w:val="21"/>
          <w:szCs w:val="21"/>
          <w:lang w:val="en-US" w:eastAsia="zh-CN" w:bidi="ar-SA"/>
        </w:rPr>
      </w:pPr>
    </w:p>
    <w:p w14:paraId="1874C593">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Times New Roman"/>
          <w:b/>
          <w:bCs/>
          <w:kern w:val="2"/>
          <w:sz w:val="21"/>
          <w:szCs w:val="21"/>
          <w:lang w:val="en-US" w:eastAsia="zh-CN" w:bidi="ar-SA"/>
        </w:rPr>
      </w:pPr>
    </w:p>
    <w:p w14:paraId="6C5CC811">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产品质量承诺：</w:t>
      </w:r>
    </w:p>
    <w:p w14:paraId="637A960D">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华文中宋"/>
          <w:spacing w:val="-4"/>
          <w:kern w:val="2"/>
          <w:sz w:val="21"/>
          <w:szCs w:val="21"/>
          <w:lang w:val="en-US" w:eastAsia="zh-CN" w:bidi="ar-SA"/>
        </w:rPr>
      </w:pPr>
      <w:r>
        <w:rPr>
          <w:rFonts w:hint="eastAsia" w:cs="华文中宋"/>
          <w:spacing w:val="-4"/>
          <w:kern w:val="2"/>
          <w:sz w:val="21"/>
          <w:szCs w:val="21"/>
          <w:lang w:val="en-US" w:eastAsia="zh-CN" w:bidi="ar-SA"/>
        </w:rPr>
        <w:t>浙江华普电缆有限公司</w:t>
      </w:r>
      <w:r>
        <w:rPr>
          <w:rFonts w:hint="default" w:ascii="宋体" w:hAnsi="宋体" w:eastAsia="宋体" w:cs="华文中宋"/>
          <w:spacing w:val="-4"/>
          <w:kern w:val="2"/>
          <w:sz w:val="21"/>
          <w:szCs w:val="21"/>
          <w:lang w:val="en-US" w:eastAsia="zh-CN" w:bidi="ar-SA"/>
        </w:rPr>
        <w:t>在此承诺：我公司保证所提供产品质量及使用性能完全符合国家标准要求。公司内部由总经理牵头成立有严格的质量保证体系组织。我公司所提供产品在生产过程中严格控制每一道生产工序，从原材料选材到成品检测毫不例外的严格进行检验，保证为用户提供安全、可靠的产品。</w:t>
      </w:r>
    </w:p>
    <w:p w14:paraId="3CB51BD7">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宋体" w:hAnsi="宋体" w:eastAsia="宋体" w:cs="华文中宋"/>
          <w:spacing w:val="-4"/>
          <w:kern w:val="2"/>
          <w:sz w:val="21"/>
          <w:szCs w:val="21"/>
          <w:lang w:val="en-US" w:eastAsia="zh-CN" w:bidi="ar-SA"/>
        </w:rPr>
      </w:pPr>
      <w:r>
        <w:rPr>
          <w:rFonts w:hint="default" w:ascii="宋体" w:hAnsi="宋体" w:eastAsia="宋体" w:cs="华文中宋"/>
          <w:spacing w:val="-4"/>
          <w:kern w:val="2"/>
          <w:sz w:val="21"/>
          <w:szCs w:val="21"/>
          <w:lang w:val="en-US" w:eastAsia="zh-CN" w:bidi="ar-SA"/>
        </w:rPr>
        <w:t>售前承诺：运用世界先进、国内一流的生产线，生产符合国际标准及贵单位提供的各项技术指标的合格优质产品。如果产品出现质量问题完全由我公司承担责任。</w:t>
      </w:r>
    </w:p>
    <w:p w14:paraId="30A0BB9B">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宋体" w:hAnsi="宋体" w:eastAsia="宋体" w:cs="华文中宋"/>
          <w:spacing w:val="-4"/>
          <w:kern w:val="2"/>
          <w:sz w:val="21"/>
          <w:szCs w:val="21"/>
          <w:lang w:val="en-US" w:eastAsia="zh-CN" w:bidi="ar-SA"/>
        </w:rPr>
      </w:pPr>
      <w:r>
        <w:rPr>
          <w:rFonts w:hint="default" w:ascii="宋体" w:hAnsi="宋体" w:eastAsia="宋体" w:cs="华文中宋"/>
          <w:spacing w:val="-4"/>
          <w:kern w:val="2"/>
          <w:sz w:val="21"/>
          <w:szCs w:val="21"/>
          <w:lang w:val="en-US" w:eastAsia="zh-CN" w:bidi="ar-SA"/>
        </w:rPr>
        <w:t>售中承诺：电缆运至指定地点后，根据客户要求，我方派遣有能力、有经验的技术人员到现场进行货物验收的交接工作，全力配合贵单位验货。在施工中，我们免费到现场提供安装指导、技术咨询和协助安装、调试，保障需方工程项目的顺利进行。另外，我们还可以根据用户需要，组织人员培训及技术指导，直至需方满意。</w:t>
      </w:r>
    </w:p>
    <w:p w14:paraId="1AE2C5EF">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宋体" w:hAnsi="宋体" w:eastAsia="宋体" w:cs="华文中宋"/>
          <w:spacing w:val="-4"/>
          <w:kern w:val="2"/>
          <w:sz w:val="21"/>
          <w:szCs w:val="21"/>
          <w:lang w:val="en-US" w:eastAsia="zh-CN" w:bidi="ar-SA"/>
        </w:rPr>
      </w:pPr>
      <w:r>
        <w:rPr>
          <w:rFonts w:hint="default" w:ascii="宋体" w:hAnsi="宋体" w:eastAsia="宋体" w:cs="华文中宋"/>
          <w:spacing w:val="-4"/>
          <w:kern w:val="2"/>
          <w:sz w:val="21"/>
          <w:szCs w:val="21"/>
          <w:lang w:val="en-US" w:eastAsia="zh-CN" w:bidi="ar-SA"/>
        </w:rPr>
        <w:t>售后承诺：在产品投入运行后免费跟踪维护，做到项目管理终身专人制，我公司提供终身维护的技术支持。</w:t>
      </w:r>
    </w:p>
    <w:p w14:paraId="2D28E311">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宋体" w:hAnsi="宋体" w:eastAsia="宋体" w:cs="华文中宋"/>
          <w:spacing w:val="-4"/>
          <w:kern w:val="2"/>
          <w:sz w:val="21"/>
          <w:szCs w:val="21"/>
          <w:lang w:val="en-US" w:eastAsia="zh-CN" w:bidi="ar-SA"/>
        </w:rPr>
      </w:pPr>
      <w:r>
        <w:rPr>
          <w:rFonts w:hint="default" w:ascii="宋体" w:hAnsi="宋体" w:eastAsia="宋体" w:cs="华文中宋"/>
          <w:spacing w:val="-4"/>
          <w:kern w:val="2"/>
          <w:sz w:val="21"/>
          <w:szCs w:val="21"/>
          <w:lang w:val="en-US" w:eastAsia="zh-CN" w:bidi="ar-SA"/>
        </w:rPr>
        <w:t>另外，我公司有售后服务部对所有售出产品均实行三包服务，售出 100 公里以内的产品，3小时到达。售出 300 公里以内的 8 小时到达。全国范围内可在接到用户通知 24 小时内为用户解决安装运行过程中的一切难题，做到客户满意。</w:t>
      </w:r>
    </w:p>
    <w:p w14:paraId="6F113564">
      <w:pPr>
        <w:keepNext/>
        <w:keepLines/>
        <w:spacing w:line="276" w:lineRule="auto"/>
        <w:jc w:val="both"/>
        <w:outlineLvl w:val="9"/>
        <w:rPr>
          <w:rFonts w:hint="default" w:cs="宋体" w:asciiTheme="minorEastAsia" w:hAnsiTheme="minorEastAsia" w:eastAsiaTheme="minorEastAsia"/>
          <w:b/>
          <w:bCs/>
          <w:color w:val="000000" w:themeColor="text1"/>
          <w:kern w:val="32"/>
          <w:sz w:val="44"/>
          <w:szCs w:val="44"/>
          <w:lang w:val="en-US" w:eastAsia="zh-CN"/>
        </w:rPr>
      </w:pPr>
    </w:p>
    <w:p w14:paraId="572E7288">
      <w:pPr>
        <w:rPr>
          <w:rFonts w:cs="宋体" w:asciiTheme="minorEastAsia" w:hAnsiTheme="minorEastAsia" w:eastAsiaTheme="minorEastAsia"/>
          <w:b/>
          <w:bCs/>
          <w:color w:val="000000" w:themeColor="text1"/>
          <w:kern w:val="32"/>
          <w:sz w:val="44"/>
          <w:szCs w:val="44"/>
        </w:rPr>
      </w:pPr>
      <w:r>
        <w:rPr>
          <w:rFonts w:hint="eastAsia" w:cs="宋体" w:asciiTheme="minorEastAsia" w:hAnsiTheme="minorEastAsia" w:eastAsiaTheme="minorEastAsia"/>
          <w:b/>
          <w:bCs/>
          <w:color w:val="000000" w:themeColor="text1"/>
          <w:kern w:val="32"/>
          <w:sz w:val="44"/>
          <w:szCs w:val="44"/>
        </w:rPr>
        <w:br w:type="page"/>
      </w:r>
    </w:p>
    <w:p w14:paraId="37CFE4CF">
      <w:pPr>
        <w:keepNext/>
        <w:keepLines/>
        <w:spacing w:line="276" w:lineRule="auto"/>
        <w:jc w:val="center"/>
        <w:outlineLvl w:val="0"/>
        <w:rPr>
          <w:rFonts w:cs="宋体" w:asciiTheme="minorEastAsia" w:hAnsiTheme="minorEastAsia" w:eastAsiaTheme="minorEastAsia"/>
          <w:b/>
          <w:bCs/>
          <w:color w:val="000000" w:themeColor="text1"/>
          <w:kern w:val="32"/>
          <w:sz w:val="44"/>
          <w:szCs w:val="44"/>
        </w:rPr>
      </w:pPr>
      <w:bookmarkStart w:id="67" w:name="_Toc15550"/>
      <w:r>
        <w:rPr>
          <w:rFonts w:hint="eastAsia" w:cs="宋体" w:asciiTheme="minorEastAsia" w:hAnsiTheme="minorEastAsia" w:eastAsiaTheme="minorEastAsia"/>
          <w:b/>
          <w:bCs/>
          <w:color w:val="000000" w:themeColor="text1"/>
          <w:kern w:val="32"/>
          <w:sz w:val="44"/>
          <w:szCs w:val="44"/>
        </w:rPr>
        <w:t>报告结语</w:t>
      </w:r>
      <w:bookmarkEnd w:id="67"/>
    </w:p>
    <w:p w14:paraId="05F9B6FC">
      <w:pPr>
        <w:keepNext/>
        <w:keepLines/>
        <w:spacing w:line="276" w:lineRule="auto"/>
        <w:jc w:val="center"/>
        <w:outlineLvl w:val="9"/>
        <w:rPr>
          <w:rFonts w:cs="宋体" w:asciiTheme="minorEastAsia" w:hAnsiTheme="minorEastAsia" w:eastAsiaTheme="minorEastAsia"/>
          <w:b/>
          <w:bCs/>
          <w:color w:val="000000" w:themeColor="text1"/>
          <w:kern w:val="32"/>
          <w:sz w:val="44"/>
          <w:szCs w:val="44"/>
        </w:rPr>
      </w:pPr>
    </w:p>
    <w:p w14:paraId="0AA7FE40">
      <w:pPr>
        <w:spacing w:line="360" w:lineRule="auto"/>
        <w:ind w:firstLine="480" w:firstLineChars="200"/>
        <w:rPr>
          <w:rFonts w:cs="仿宋_GB2312" w:asciiTheme="minorEastAsia" w:hAnsiTheme="minorEastAsia" w:eastAsiaTheme="minorEastAsia"/>
          <w:color w:val="000000" w:themeColor="text1"/>
          <w:sz w:val="24"/>
        </w:rPr>
      </w:pPr>
      <w:r>
        <w:rPr>
          <w:rFonts w:hint="eastAsia" w:cs="仿宋_GB2312" w:asciiTheme="minorEastAsia" w:hAnsiTheme="minorEastAsia" w:eastAsiaTheme="minorEastAsia"/>
          <w:color w:val="000000" w:themeColor="text1"/>
          <w:sz w:val="24"/>
        </w:rPr>
        <w:t>质量诚信建设是全社会的共同责任，需要大家的共同努力。公司将继续努力奋斗，诚信经营，承担起企业质量安全第一责任人的责任，为行业健康有序和又好又快发展做出我们应有的贡献！</w:t>
      </w:r>
    </w:p>
    <w:sectPr>
      <w:pgSz w:w="11906" w:h="16838"/>
      <w:pgMar w:top="1440" w:right="1406" w:bottom="1440" w:left="146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B6D">
    <w:pPr>
      <w:pStyle w:val="16"/>
      <w:jc w:val="center"/>
    </w:pPr>
  </w:p>
  <w:p w14:paraId="0430EF43">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0221F">
    <w:pPr>
      <w:pStyle w:val="16"/>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7740412"/>
                </w:sdtPr>
                <w:sdtContent>
                  <w:p w14:paraId="1657CF16">
                    <w:pPr>
                      <w:pStyle w:val="16"/>
                      <w:jc w:val="center"/>
                    </w:pPr>
                    <w:r>
                      <w:fldChar w:fldCharType="begin"/>
                    </w:r>
                    <w:r>
                      <w:instrText xml:space="preserve"> PAGE   \* MERGEFORMAT </w:instrText>
                    </w:r>
                    <w:r>
                      <w:fldChar w:fldCharType="separate"/>
                    </w:r>
                    <w:r>
                      <w:rPr>
                        <w:lang w:val="zh-CN"/>
                      </w:rPr>
                      <w:t>6</w:t>
                    </w:r>
                    <w:r>
                      <w:rPr>
                        <w:lang w:val="zh-CN"/>
                      </w:rPr>
                      <w:fldChar w:fldCharType="end"/>
                    </w:r>
                  </w:p>
                </w:sdtContent>
              </w:sdt>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3FAE2">
    <w:pPr>
      <w:pStyle w:val="17"/>
      <w:pBdr>
        <w:bottom w:val="single" w:color="auto" w:sz="4" w:space="0"/>
      </w:pBdr>
      <w:ind w:firstLine="2340" w:firstLineChars="971"/>
      <w:jc w:val="both"/>
      <w:rPr>
        <w:sz w:val="21"/>
        <w:szCs w:val="21"/>
      </w:rPr>
    </w:pPr>
    <w:r>
      <w:rPr>
        <w:rFonts w:hint="eastAsia"/>
        <w:b/>
        <w:sz w:val="24"/>
      </w:rPr>
      <w:t xml:space="preserve">      </w:t>
    </w:r>
    <w:r>
      <w:rPr>
        <w:rFonts w:hint="eastAsia"/>
        <w:b/>
        <w:sz w:val="21"/>
        <w:szCs w:val="21"/>
      </w:rPr>
      <w:t xml:space="preserve">   </w:t>
    </w:r>
    <w:r>
      <w:rPr>
        <w:rFonts w:hint="eastAsia"/>
        <w:b/>
        <w:sz w:val="21"/>
        <w:szCs w:val="21"/>
        <w:lang w:val="en-US" w:eastAsia="zh-CN"/>
      </w:rPr>
      <w:t xml:space="preserve">                     </w:t>
    </w:r>
    <w:r>
      <w:rPr>
        <w:rFonts w:hint="eastAsia"/>
        <w:b/>
        <w:sz w:val="21"/>
        <w:szCs w:val="21"/>
      </w:rPr>
      <w:t>“</w:t>
    </w:r>
    <w:r>
      <w:rPr>
        <w:rFonts w:hint="eastAsia"/>
        <w:sz w:val="21"/>
        <w:szCs w:val="21"/>
      </w:rPr>
      <w:t>浙江制造”认证质量诚信报告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13594">
    <w:pPr>
      <w:pStyle w:val="17"/>
      <w:ind w:left="0" w:leftChars="0" w:firstLine="0" w:firstLineChars="0"/>
      <w:jc w:val="both"/>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99BCF"/>
    <w:multiLevelType w:val="singleLevel"/>
    <w:tmpl w:val="88699BCF"/>
    <w:lvl w:ilvl="0" w:tentative="0">
      <w:start w:val="1"/>
      <w:numFmt w:val="decimal"/>
      <w:lvlText w:val="%1)"/>
      <w:lvlJc w:val="left"/>
      <w:pPr>
        <w:ind w:left="425" w:hanging="425"/>
      </w:pPr>
      <w:rPr>
        <w:rFonts w:hint="default"/>
      </w:rPr>
    </w:lvl>
  </w:abstractNum>
  <w:abstractNum w:abstractNumId="1">
    <w:nsid w:val="1FC91163"/>
    <w:multiLevelType w:val="multilevel"/>
    <w:tmpl w:val="1FC91163"/>
    <w:lvl w:ilvl="0" w:tentative="0">
      <w:start w:val="1"/>
      <w:numFmt w:val="decimal"/>
      <w:pStyle w:val="36"/>
      <w:suff w:val="nothing"/>
      <w:lvlText w:val="%1　"/>
      <w:lvlJc w:val="left"/>
      <w:rPr>
        <w:rFonts w:hint="eastAsia" w:ascii="黑体" w:hAnsi="Times New Roman" w:eastAsia="黑体" w:cs="Times New Roman"/>
        <w:b w:val="0"/>
        <w:i w:val="0"/>
        <w:sz w:val="28"/>
        <w:szCs w:val="28"/>
      </w:rPr>
    </w:lvl>
    <w:lvl w:ilvl="1" w:tentative="0">
      <w:start w:val="1"/>
      <w:numFmt w:val="decimal"/>
      <w:pStyle w:val="35"/>
      <w:suff w:val="nothing"/>
      <w:lvlText w:val="%1.%2　"/>
      <w:lvlJc w:val="left"/>
      <w:pPr>
        <w:ind w:left="63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pStyle w:val="37"/>
      <w:suff w:val="nothing"/>
      <w:lvlText w:val="%1.%2.%3　"/>
      <w:lvlJc w:val="left"/>
      <w:pPr>
        <w:ind w:left="993"/>
      </w:pPr>
      <w:rPr>
        <w:rFonts w:hint="eastAsia" w:ascii="黑体" w:hAnsi="Times New Roman" w:eastAsia="黑体" w:cs="Times New Roman"/>
        <w:b w:val="0"/>
        <w:i w:val="0"/>
        <w:sz w:val="21"/>
      </w:rPr>
    </w:lvl>
    <w:lvl w:ilvl="3" w:tentative="0">
      <w:start w:val="1"/>
      <w:numFmt w:val="decimal"/>
      <w:pStyle w:val="39"/>
      <w:suff w:val="nothing"/>
      <w:lvlText w:val="%1.%2.%3.%4　"/>
      <w:lvlJc w:val="left"/>
      <w:pPr>
        <w:ind w:left="630"/>
      </w:pPr>
      <w:rPr>
        <w:rFonts w:hint="eastAsia" w:ascii="黑体" w:hAnsi="Times New Roman" w:eastAsia="黑体" w:cs="Times New Roman"/>
        <w:b w:val="0"/>
        <w:i w:val="0"/>
        <w:sz w:val="21"/>
      </w:rPr>
    </w:lvl>
    <w:lvl w:ilvl="4" w:tentative="0">
      <w:start w:val="1"/>
      <w:numFmt w:val="decimal"/>
      <w:pStyle w:val="41"/>
      <w:suff w:val="nothing"/>
      <w:lvlText w:val="%1.%2.%3.%4.%5　"/>
      <w:lvlJc w:val="left"/>
      <w:rPr>
        <w:rFonts w:hint="eastAsia" w:ascii="黑体" w:hAnsi="Times New Roman" w:eastAsia="黑体" w:cs="Times New Roman"/>
        <w:b w:val="0"/>
        <w:i w:val="0"/>
        <w:sz w:val="21"/>
      </w:rPr>
    </w:lvl>
    <w:lvl w:ilvl="5" w:tentative="0">
      <w:start w:val="1"/>
      <w:numFmt w:val="decimal"/>
      <w:pStyle w:val="42"/>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2">
    <w:nsid w:val="44C50F90"/>
    <w:multiLevelType w:val="multilevel"/>
    <w:tmpl w:val="44C50F90"/>
    <w:lvl w:ilvl="0" w:tentative="0">
      <w:start w:val="1"/>
      <w:numFmt w:val="lowerLetter"/>
      <w:pStyle w:val="43"/>
      <w:lvlText w:val="%1)"/>
      <w:lvlJc w:val="left"/>
      <w:pPr>
        <w:tabs>
          <w:tab w:val="left" w:pos="840"/>
        </w:tabs>
        <w:ind w:left="839" w:hanging="419"/>
      </w:pPr>
      <w:rPr>
        <w:rFonts w:hint="eastAsia" w:ascii="宋体" w:eastAsia="宋体" w:cs="Times New Roman"/>
        <w:b w:val="0"/>
        <w:i w:val="0"/>
        <w:sz w:val="21"/>
        <w:szCs w:val="21"/>
      </w:rPr>
    </w:lvl>
    <w:lvl w:ilvl="1" w:tentative="0">
      <w:start w:val="1"/>
      <w:numFmt w:val="decimal"/>
      <w:pStyle w:val="40"/>
      <w:lvlText w:val="%2)"/>
      <w:lvlJc w:val="left"/>
      <w:pPr>
        <w:tabs>
          <w:tab w:val="left" w:pos="1260"/>
        </w:tabs>
        <w:ind w:left="1259" w:hanging="419"/>
      </w:pPr>
      <w:rPr>
        <w:rFonts w:hint="eastAsia" w:cs="Times New Roman"/>
      </w:rPr>
    </w:lvl>
    <w:lvl w:ilvl="2" w:tentative="0">
      <w:start w:val="1"/>
      <w:numFmt w:val="decimal"/>
      <w:pStyle w:val="44"/>
      <w:lvlText w:val="(%3)"/>
      <w:lvlJc w:val="left"/>
      <w:pPr>
        <w:tabs>
          <w:tab w:val="left" w:pos="0"/>
        </w:tabs>
        <w:ind w:left="1679" w:hanging="420"/>
      </w:pPr>
      <w:rPr>
        <w:rFonts w:hint="eastAsia" w:ascii="宋体" w:eastAsia="宋体" w:cs="Times New Roman"/>
        <w:b w:val="0"/>
        <w:i w:val="0"/>
        <w:sz w:val="21"/>
        <w:szCs w:val="21"/>
      </w:rPr>
    </w:lvl>
    <w:lvl w:ilvl="3" w:tentative="0">
      <w:start w:val="1"/>
      <w:numFmt w:val="decimal"/>
      <w:lvlText w:val="%4."/>
      <w:lvlJc w:val="left"/>
      <w:pPr>
        <w:tabs>
          <w:tab w:val="left" w:pos="2100"/>
        </w:tabs>
        <w:ind w:left="2099" w:hanging="419"/>
      </w:pPr>
      <w:rPr>
        <w:rFonts w:hint="eastAsia" w:cs="Times New Roman"/>
      </w:rPr>
    </w:lvl>
    <w:lvl w:ilvl="4" w:tentative="0">
      <w:start w:val="1"/>
      <w:numFmt w:val="lowerLetter"/>
      <w:lvlText w:val="%5)"/>
      <w:lvlJc w:val="left"/>
      <w:pPr>
        <w:tabs>
          <w:tab w:val="left" w:pos="2520"/>
        </w:tabs>
        <w:ind w:left="2519" w:hanging="419"/>
      </w:pPr>
      <w:rPr>
        <w:rFonts w:hint="eastAsia" w:cs="Times New Roman"/>
      </w:rPr>
    </w:lvl>
    <w:lvl w:ilvl="5" w:tentative="0">
      <w:start w:val="1"/>
      <w:numFmt w:val="lowerRoman"/>
      <w:lvlText w:val="%6."/>
      <w:lvlJc w:val="right"/>
      <w:pPr>
        <w:tabs>
          <w:tab w:val="left" w:pos="2940"/>
        </w:tabs>
        <w:ind w:left="2939" w:hanging="419"/>
      </w:pPr>
      <w:rPr>
        <w:rFonts w:hint="eastAsia" w:cs="Times New Roman"/>
      </w:rPr>
    </w:lvl>
    <w:lvl w:ilvl="6" w:tentative="0">
      <w:start w:val="1"/>
      <w:numFmt w:val="decimal"/>
      <w:lvlText w:val="%7."/>
      <w:lvlJc w:val="left"/>
      <w:pPr>
        <w:tabs>
          <w:tab w:val="left" w:pos="3360"/>
        </w:tabs>
        <w:ind w:left="3359" w:hanging="419"/>
      </w:pPr>
      <w:rPr>
        <w:rFonts w:hint="eastAsia" w:cs="Times New Roman"/>
      </w:rPr>
    </w:lvl>
    <w:lvl w:ilvl="7" w:tentative="0">
      <w:start w:val="1"/>
      <w:numFmt w:val="lowerLetter"/>
      <w:lvlText w:val="%8)"/>
      <w:lvlJc w:val="left"/>
      <w:pPr>
        <w:tabs>
          <w:tab w:val="left" w:pos="3780"/>
        </w:tabs>
        <w:ind w:left="3779" w:hanging="419"/>
      </w:pPr>
      <w:rPr>
        <w:rFonts w:hint="eastAsia" w:cs="Times New Roman"/>
      </w:rPr>
    </w:lvl>
    <w:lvl w:ilvl="8" w:tentative="0">
      <w:start w:val="1"/>
      <w:numFmt w:val="lowerRoman"/>
      <w:lvlText w:val="%9."/>
      <w:lvlJc w:val="right"/>
      <w:pPr>
        <w:tabs>
          <w:tab w:val="left" w:pos="4200"/>
        </w:tabs>
        <w:ind w:left="4199" w:hanging="419"/>
      </w:pPr>
      <w:rPr>
        <w:rFonts w:hint="eastAsia"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I4MjJiZTlhYzNiYTE2NDkyMDgzOWZiZTVkZTM1MDIifQ=="/>
  </w:docVars>
  <w:rsids>
    <w:rsidRoot w:val="00E23D39"/>
    <w:rsid w:val="000003BC"/>
    <w:rsid w:val="00000725"/>
    <w:rsid w:val="0000177F"/>
    <w:rsid w:val="0000182B"/>
    <w:rsid w:val="00001B50"/>
    <w:rsid w:val="00001B8B"/>
    <w:rsid w:val="00001BF1"/>
    <w:rsid w:val="00001F6F"/>
    <w:rsid w:val="00001FBC"/>
    <w:rsid w:val="00002023"/>
    <w:rsid w:val="000029D4"/>
    <w:rsid w:val="0000310E"/>
    <w:rsid w:val="00005095"/>
    <w:rsid w:val="00005112"/>
    <w:rsid w:val="00006691"/>
    <w:rsid w:val="00006879"/>
    <w:rsid w:val="0000713B"/>
    <w:rsid w:val="000079EB"/>
    <w:rsid w:val="00007B68"/>
    <w:rsid w:val="00010104"/>
    <w:rsid w:val="0001138A"/>
    <w:rsid w:val="00011809"/>
    <w:rsid w:val="00012108"/>
    <w:rsid w:val="000121DB"/>
    <w:rsid w:val="00012353"/>
    <w:rsid w:val="00012B18"/>
    <w:rsid w:val="00012F18"/>
    <w:rsid w:val="00013F6D"/>
    <w:rsid w:val="0001545B"/>
    <w:rsid w:val="00016268"/>
    <w:rsid w:val="00016306"/>
    <w:rsid w:val="00020620"/>
    <w:rsid w:val="00021BE0"/>
    <w:rsid w:val="00021CCD"/>
    <w:rsid w:val="00021CDF"/>
    <w:rsid w:val="00021E24"/>
    <w:rsid w:val="00023358"/>
    <w:rsid w:val="00024557"/>
    <w:rsid w:val="000248DA"/>
    <w:rsid w:val="00024E8D"/>
    <w:rsid w:val="00025CE1"/>
    <w:rsid w:val="00025F2A"/>
    <w:rsid w:val="00025FAB"/>
    <w:rsid w:val="00026A2D"/>
    <w:rsid w:val="00026CFB"/>
    <w:rsid w:val="0002724A"/>
    <w:rsid w:val="000274B5"/>
    <w:rsid w:val="0003097F"/>
    <w:rsid w:val="000325E3"/>
    <w:rsid w:val="00032886"/>
    <w:rsid w:val="00033904"/>
    <w:rsid w:val="00033A2B"/>
    <w:rsid w:val="00034292"/>
    <w:rsid w:val="00034DBA"/>
    <w:rsid w:val="00035A0A"/>
    <w:rsid w:val="0003627D"/>
    <w:rsid w:val="00036588"/>
    <w:rsid w:val="0003683D"/>
    <w:rsid w:val="00037366"/>
    <w:rsid w:val="000406FF"/>
    <w:rsid w:val="00040A1B"/>
    <w:rsid w:val="00041894"/>
    <w:rsid w:val="0004196A"/>
    <w:rsid w:val="0004207A"/>
    <w:rsid w:val="0004209E"/>
    <w:rsid w:val="00042BCC"/>
    <w:rsid w:val="000435BB"/>
    <w:rsid w:val="00043918"/>
    <w:rsid w:val="00043DFA"/>
    <w:rsid w:val="000441AF"/>
    <w:rsid w:val="000455A7"/>
    <w:rsid w:val="00046B47"/>
    <w:rsid w:val="00046BE3"/>
    <w:rsid w:val="00046CE9"/>
    <w:rsid w:val="0004715B"/>
    <w:rsid w:val="00047AAE"/>
    <w:rsid w:val="00050668"/>
    <w:rsid w:val="00051B2F"/>
    <w:rsid w:val="00051E4A"/>
    <w:rsid w:val="00052D8A"/>
    <w:rsid w:val="000530D1"/>
    <w:rsid w:val="00053251"/>
    <w:rsid w:val="00053408"/>
    <w:rsid w:val="00054A15"/>
    <w:rsid w:val="00054C4A"/>
    <w:rsid w:val="000559C1"/>
    <w:rsid w:val="00055EE5"/>
    <w:rsid w:val="0005637F"/>
    <w:rsid w:val="00056C32"/>
    <w:rsid w:val="00057F89"/>
    <w:rsid w:val="00060140"/>
    <w:rsid w:val="00060283"/>
    <w:rsid w:val="00062428"/>
    <w:rsid w:val="000631AA"/>
    <w:rsid w:val="00064C0A"/>
    <w:rsid w:val="00065389"/>
    <w:rsid w:val="00065616"/>
    <w:rsid w:val="0006625D"/>
    <w:rsid w:val="0006678D"/>
    <w:rsid w:val="0006681A"/>
    <w:rsid w:val="00066F66"/>
    <w:rsid w:val="00067799"/>
    <w:rsid w:val="00067A61"/>
    <w:rsid w:val="00067C41"/>
    <w:rsid w:val="0007047C"/>
    <w:rsid w:val="00070656"/>
    <w:rsid w:val="000708B0"/>
    <w:rsid w:val="00070B5C"/>
    <w:rsid w:val="00070F9A"/>
    <w:rsid w:val="00070FD3"/>
    <w:rsid w:val="000720B4"/>
    <w:rsid w:val="000722A9"/>
    <w:rsid w:val="00073179"/>
    <w:rsid w:val="00073C4A"/>
    <w:rsid w:val="000741EE"/>
    <w:rsid w:val="00075AC9"/>
    <w:rsid w:val="00076F61"/>
    <w:rsid w:val="0007780A"/>
    <w:rsid w:val="00080137"/>
    <w:rsid w:val="0008097F"/>
    <w:rsid w:val="00080ADA"/>
    <w:rsid w:val="00080E24"/>
    <w:rsid w:val="00081246"/>
    <w:rsid w:val="00082BF4"/>
    <w:rsid w:val="00082DDB"/>
    <w:rsid w:val="00082EFE"/>
    <w:rsid w:val="000832AF"/>
    <w:rsid w:val="00083505"/>
    <w:rsid w:val="00083F8E"/>
    <w:rsid w:val="00084343"/>
    <w:rsid w:val="00084EDA"/>
    <w:rsid w:val="0008524D"/>
    <w:rsid w:val="00085905"/>
    <w:rsid w:val="00085DF6"/>
    <w:rsid w:val="000862FC"/>
    <w:rsid w:val="0008634B"/>
    <w:rsid w:val="0008707D"/>
    <w:rsid w:val="000875D7"/>
    <w:rsid w:val="00087F5F"/>
    <w:rsid w:val="000907FB"/>
    <w:rsid w:val="000911B2"/>
    <w:rsid w:val="00091C63"/>
    <w:rsid w:val="000924AB"/>
    <w:rsid w:val="000928E7"/>
    <w:rsid w:val="00092FAD"/>
    <w:rsid w:val="00093184"/>
    <w:rsid w:val="00093242"/>
    <w:rsid w:val="00093EB7"/>
    <w:rsid w:val="00094AFB"/>
    <w:rsid w:val="00094E4C"/>
    <w:rsid w:val="00095863"/>
    <w:rsid w:val="0009587B"/>
    <w:rsid w:val="000A005C"/>
    <w:rsid w:val="000A0E1A"/>
    <w:rsid w:val="000A2332"/>
    <w:rsid w:val="000A383C"/>
    <w:rsid w:val="000A3E2D"/>
    <w:rsid w:val="000A43BD"/>
    <w:rsid w:val="000A44F1"/>
    <w:rsid w:val="000A5ACF"/>
    <w:rsid w:val="000A5D2E"/>
    <w:rsid w:val="000A712A"/>
    <w:rsid w:val="000A7333"/>
    <w:rsid w:val="000A745D"/>
    <w:rsid w:val="000A75D4"/>
    <w:rsid w:val="000A7744"/>
    <w:rsid w:val="000B017E"/>
    <w:rsid w:val="000B0370"/>
    <w:rsid w:val="000B0F5E"/>
    <w:rsid w:val="000B0F61"/>
    <w:rsid w:val="000B1591"/>
    <w:rsid w:val="000B1C6E"/>
    <w:rsid w:val="000B29D8"/>
    <w:rsid w:val="000B33E7"/>
    <w:rsid w:val="000B342A"/>
    <w:rsid w:val="000B359A"/>
    <w:rsid w:val="000B3630"/>
    <w:rsid w:val="000B3632"/>
    <w:rsid w:val="000B364A"/>
    <w:rsid w:val="000B3881"/>
    <w:rsid w:val="000B3ACD"/>
    <w:rsid w:val="000B41DE"/>
    <w:rsid w:val="000B458F"/>
    <w:rsid w:val="000B46BC"/>
    <w:rsid w:val="000B4FB7"/>
    <w:rsid w:val="000B587E"/>
    <w:rsid w:val="000B5999"/>
    <w:rsid w:val="000B5C7F"/>
    <w:rsid w:val="000B6ABE"/>
    <w:rsid w:val="000B6ADB"/>
    <w:rsid w:val="000B6D31"/>
    <w:rsid w:val="000B6EE5"/>
    <w:rsid w:val="000B71D5"/>
    <w:rsid w:val="000C0750"/>
    <w:rsid w:val="000C0956"/>
    <w:rsid w:val="000C305A"/>
    <w:rsid w:val="000C3AE4"/>
    <w:rsid w:val="000C3E24"/>
    <w:rsid w:val="000C5060"/>
    <w:rsid w:val="000C5487"/>
    <w:rsid w:val="000C5755"/>
    <w:rsid w:val="000C651E"/>
    <w:rsid w:val="000C6E9D"/>
    <w:rsid w:val="000C7653"/>
    <w:rsid w:val="000C7971"/>
    <w:rsid w:val="000C7A4F"/>
    <w:rsid w:val="000D0183"/>
    <w:rsid w:val="000D0997"/>
    <w:rsid w:val="000D0D75"/>
    <w:rsid w:val="000D23B7"/>
    <w:rsid w:val="000D3DB2"/>
    <w:rsid w:val="000D4B72"/>
    <w:rsid w:val="000D52B8"/>
    <w:rsid w:val="000D5829"/>
    <w:rsid w:val="000D5A0C"/>
    <w:rsid w:val="000D601E"/>
    <w:rsid w:val="000D6F67"/>
    <w:rsid w:val="000D70E5"/>
    <w:rsid w:val="000D7AF9"/>
    <w:rsid w:val="000D7B18"/>
    <w:rsid w:val="000E0DE0"/>
    <w:rsid w:val="000E1418"/>
    <w:rsid w:val="000E16A4"/>
    <w:rsid w:val="000E1E8D"/>
    <w:rsid w:val="000E32A3"/>
    <w:rsid w:val="000E3324"/>
    <w:rsid w:val="000E3479"/>
    <w:rsid w:val="000E4301"/>
    <w:rsid w:val="000E43F6"/>
    <w:rsid w:val="000E4BDB"/>
    <w:rsid w:val="000E4F1C"/>
    <w:rsid w:val="000E5193"/>
    <w:rsid w:val="000E56B7"/>
    <w:rsid w:val="000E5DFD"/>
    <w:rsid w:val="000E61F9"/>
    <w:rsid w:val="000E6273"/>
    <w:rsid w:val="000E6294"/>
    <w:rsid w:val="000E7828"/>
    <w:rsid w:val="000E7967"/>
    <w:rsid w:val="000F0300"/>
    <w:rsid w:val="000F21D6"/>
    <w:rsid w:val="000F33A2"/>
    <w:rsid w:val="000F3A75"/>
    <w:rsid w:val="000F3D9F"/>
    <w:rsid w:val="000F4774"/>
    <w:rsid w:val="000F4D33"/>
    <w:rsid w:val="000F4FE5"/>
    <w:rsid w:val="000F5EE5"/>
    <w:rsid w:val="000F60E4"/>
    <w:rsid w:val="000F7E85"/>
    <w:rsid w:val="001008CC"/>
    <w:rsid w:val="00100E3E"/>
    <w:rsid w:val="0010187E"/>
    <w:rsid w:val="00101DFB"/>
    <w:rsid w:val="00102506"/>
    <w:rsid w:val="00102526"/>
    <w:rsid w:val="001028C5"/>
    <w:rsid w:val="001032D0"/>
    <w:rsid w:val="001058DE"/>
    <w:rsid w:val="00105FE4"/>
    <w:rsid w:val="00107491"/>
    <w:rsid w:val="00107A6C"/>
    <w:rsid w:val="001103A8"/>
    <w:rsid w:val="00110474"/>
    <w:rsid w:val="00110A7A"/>
    <w:rsid w:val="00111C1D"/>
    <w:rsid w:val="00112D00"/>
    <w:rsid w:val="001138F4"/>
    <w:rsid w:val="0011390F"/>
    <w:rsid w:val="00113AB4"/>
    <w:rsid w:val="00113C77"/>
    <w:rsid w:val="00114CAB"/>
    <w:rsid w:val="00115C79"/>
    <w:rsid w:val="00116723"/>
    <w:rsid w:val="00117972"/>
    <w:rsid w:val="0012031F"/>
    <w:rsid w:val="0012137B"/>
    <w:rsid w:val="001219E9"/>
    <w:rsid w:val="00121DED"/>
    <w:rsid w:val="001222AC"/>
    <w:rsid w:val="001228A6"/>
    <w:rsid w:val="001234AE"/>
    <w:rsid w:val="001234F5"/>
    <w:rsid w:val="00123653"/>
    <w:rsid w:val="001237F6"/>
    <w:rsid w:val="00123A03"/>
    <w:rsid w:val="00124253"/>
    <w:rsid w:val="00124846"/>
    <w:rsid w:val="00126191"/>
    <w:rsid w:val="00126CF8"/>
    <w:rsid w:val="0012703E"/>
    <w:rsid w:val="00127ABD"/>
    <w:rsid w:val="0013083C"/>
    <w:rsid w:val="00130EC9"/>
    <w:rsid w:val="0013178D"/>
    <w:rsid w:val="00131A53"/>
    <w:rsid w:val="001320CA"/>
    <w:rsid w:val="001324AD"/>
    <w:rsid w:val="00132E35"/>
    <w:rsid w:val="001342E8"/>
    <w:rsid w:val="00135236"/>
    <w:rsid w:val="00135F55"/>
    <w:rsid w:val="001367DF"/>
    <w:rsid w:val="00136D16"/>
    <w:rsid w:val="0013709E"/>
    <w:rsid w:val="00140D8F"/>
    <w:rsid w:val="001412F6"/>
    <w:rsid w:val="001414F8"/>
    <w:rsid w:val="00141F9D"/>
    <w:rsid w:val="00142235"/>
    <w:rsid w:val="0014245D"/>
    <w:rsid w:val="001424F5"/>
    <w:rsid w:val="00143422"/>
    <w:rsid w:val="001441BA"/>
    <w:rsid w:val="00144C50"/>
    <w:rsid w:val="001455DE"/>
    <w:rsid w:val="00145B27"/>
    <w:rsid w:val="001468C6"/>
    <w:rsid w:val="00146DC0"/>
    <w:rsid w:val="001474AF"/>
    <w:rsid w:val="00147915"/>
    <w:rsid w:val="00150D3A"/>
    <w:rsid w:val="0015246E"/>
    <w:rsid w:val="00152C33"/>
    <w:rsid w:val="0015416D"/>
    <w:rsid w:val="0015440B"/>
    <w:rsid w:val="00154C67"/>
    <w:rsid w:val="00155759"/>
    <w:rsid w:val="00155BDF"/>
    <w:rsid w:val="001566A1"/>
    <w:rsid w:val="00156CA5"/>
    <w:rsid w:val="00156E10"/>
    <w:rsid w:val="001571CC"/>
    <w:rsid w:val="001602BB"/>
    <w:rsid w:val="001606DE"/>
    <w:rsid w:val="00160F6E"/>
    <w:rsid w:val="00161138"/>
    <w:rsid w:val="00161F1C"/>
    <w:rsid w:val="001625EB"/>
    <w:rsid w:val="00163031"/>
    <w:rsid w:val="00163533"/>
    <w:rsid w:val="00163AD9"/>
    <w:rsid w:val="001646E6"/>
    <w:rsid w:val="00164837"/>
    <w:rsid w:val="00164AEC"/>
    <w:rsid w:val="00164D5C"/>
    <w:rsid w:val="001654DF"/>
    <w:rsid w:val="001655AC"/>
    <w:rsid w:val="00165926"/>
    <w:rsid w:val="00165F77"/>
    <w:rsid w:val="00166B50"/>
    <w:rsid w:val="001706E1"/>
    <w:rsid w:val="00170A84"/>
    <w:rsid w:val="00170E56"/>
    <w:rsid w:val="0017192D"/>
    <w:rsid w:val="00172EE8"/>
    <w:rsid w:val="00173EBC"/>
    <w:rsid w:val="001742AC"/>
    <w:rsid w:val="001747B7"/>
    <w:rsid w:val="00177016"/>
    <w:rsid w:val="00177A84"/>
    <w:rsid w:val="001813A2"/>
    <w:rsid w:val="001817DB"/>
    <w:rsid w:val="00181E65"/>
    <w:rsid w:val="0018206E"/>
    <w:rsid w:val="00183A20"/>
    <w:rsid w:val="00183D04"/>
    <w:rsid w:val="00183FB3"/>
    <w:rsid w:val="0018429E"/>
    <w:rsid w:val="00184690"/>
    <w:rsid w:val="00185052"/>
    <w:rsid w:val="001866CB"/>
    <w:rsid w:val="0018784C"/>
    <w:rsid w:val="00187EAC"/>
    <w:rsid w:val="0019147E"/>
    <w:rsid w:val="00191D8B"/>
    <w:rsid w:val="0019200D"/>
    <w:rsid w:val="001928FC"/>
    <w:rsid w:val="00193306"/>
    <w:rsid w:val="00193A94"/>
    <w:rsid w:val="001948BD"/>
    <w:rsid w:val="00194CFB"/>
    <w:rsid w:val="00195190"/>
    <w:rsid w:val="00195BCF"/>
    <w:rsid w:val="00196AB0"/>
    <w:rsid w:val="001A027F"/>
    <w:rsid w:val="001A16FE"/>
    <w:rsid w:val="001A2C7C"/>
    <w:rsid w:val="001A2D99"/>
    <w:rsid w:val="001A3063"/>
    <w:rsid w:val="001A40EF"/>
    <w:rsid w:val="001A487C"/>
    <w:rsid w:val="001A5B5C"/>
    <w:rsid w:val="001A6A84"/>
    <w:rsid w:val="001A6A8B"/>
    <w:rsid w:val="001A765D"/>
    <w:rsid w:val="001B1606"/>
    <w:rsid w:val="001B2548"/>
    <w:rsid w:val="001B25D1"/>
    <w:rsid w:val="001B29AB"/>
    <w:rsid w:val="001B2A81"/>
    <w:rsid w:val="001B2ECB"/>
    <w:rsid w:val="001B359F"/>
    <w:rsid w:val="001B42B6"/>
    <w:rsid w:val="001B758C"/>
    <w:rsid w:val="001B7DAF"/>
    <w:rsid w:val="001C0B9E"/>
    <w:rsid w:val="001C1095"/>
    <w:rsid w:val="001C1199"/>
    <w:rsid w:val="001C29F6"/>
    <w:rsid w:val="001C2A41"/>
    <w:rsid w:val="001C2E38"/>
    <w:rsid w:val="001C32BF"/>
    <w:rsid w:val="001C59F9"/>
    <w:rsid w:val="001C5C9A"/>
    <w:rsid w:val="001C5CBA"/>
    <w:rsid w:val="001C6497"/>
    <w:rsid w:val="001C6751"/>
    <w:rsid w:val="001C7459"/>
    <w:rsid w:val="001C7F51"/>
    <w:rsid w:val="001D089F"/>
    <w:rsid w:val="001D14F2"/>
    <w:rsid w:val="001D1948"/>
    <w:rsid w:val="001D2AE2"/>
    <w:rsid w:val="001D2D95"/>
    <w:rsid w:val="001D3741"/>
    <w:rsid w:val="001D376F"/>
    <w:rsid w:val="001D4F17"/>
    <w:rsid w:val="001D55D3"/>
    <w:rsid w:val="001D6307"/>
    <w:rsid w:val="001D65A6"/>
    <w:rsid w:val="001D7CBD"/>
    <w:rsid w:val="001E02E4"/>
    <w:rsid w:val="001E1969"/>
    <w:rsid w:val="001E1B57"/>
    <w:rsid w:val="001E25BA"/>
    <w:rsid w:val="001E32FE"/>
    <w:rsid w:val="001E44C5"/>
    <w:rsid w:val="001E45F0"/>
    <w:rsid w:val="001E48AC"/>
    <w:rsid w:val="001E700C"/>
    <w:rsid w:val="001E79E0"/>
    <w:rsid w:val="001E7FEC"/>
    <w:rsid w:val="001F002C"/>
    <w:rsid w:val="001F09D7"/>
    <w:rsid w:val="001F10B0"/>
    <w:rsid w:val="001F223F"/>
    <w:rsid w:val="001F2707"/>
    <w:rsid w:val="001F2840"/>
    <w:rsid w:val="001F2C22"/>
    <w:rsid w:val="001F2C61"/>
    <w:rsid w:val="001F2F9C"/>
    <w:rsid w:val="001F3890"/>
    <w:rsid w:val="001F3E42"/>
    <w:rsid w:val="001F41DA"/>
    <w:rsid w:val="001F43E2"/>
    <w:rsid w:val="001F5A3A"/>
    <w:rsid w:val="00200AC5"/>
    <w:rsid w:val="00200E3C"/>
    <w:rsid w:val="00201107"/>
    <w:rsid w:val="002026A1"/>
    <w:rsid w:val="0020294A"/>
    <w:rsid w:val="00204362"/>
    <w:rsid w:val="00204627"/>
    <w:rsid w:val="002054F8"/>
    <w:rsid w:val="0020565C"/>
    <w:rsid w:val="00205F38"/>
    <w:rsid w:val="002061F3"/>
    <w:rsid w:val="002067C4"/>
    <w:rsid w:val="00206E07"/>
    <w:rsid w:val="002074E0"/>
    <w:rsid w:val="00207A76"/>
    <w:rsid w:val="00207C4C"/>
    <w:rsid w:val="00207CF3"/>
    <w:rsid w:val="0021033E"/>
    <w:rsid w:val="00210D43"/>
    <w:rsid w:val="002116BE"/>
    <w:rsid w:val="00211E7C"/>
    <w:rsid w:val="0021223B"/>
    <w:rsid w:val="002124BC"/>
    <w:rsid w:val="002128EE"/>
    <w:rsid w:val="002138D4"/>
    <w:rsid w:val="00216635"/>
    <w:rsid w:val="002166CF"/>
    <w:rsid w:val="00217FF1"/>
    <w:rsid w:val="00221F20"/>
    <w:rsid w:val="00222120"/>
    <w:rsid w:val="0022226C"/>
    <w:rsid w:val="002224DA"/>
    <w:rsid w:val="00223459"/>
    <w:rsid w:val="00224807"/>
    <w:rsid w:val="0022497C"/>
    <w:rsid w:val="00224B90"/>
    <w:rsid w:val="00224DE4"/>
    <w:rsid w:val="00225025"/>
    <w:rsid w:val="002257EF"/>
    <w:rsid w:val="00225BE0"/>
    <w:rsid w:val="00225CD4"/>
    <w:rsid w:val="00226350"/>
    <w:rsid w:val="00226AC1"/>
    <w:rsid w:val="0022716F"/>
    <w:rsid w:val="002273DF"/>
    <w:rsid w:val="00230F21"/>
    <w:rsid w:val="002313CE"/>
    <w:rsid w:val="00232246"/>
    <w:rsid w:val="002330A5"/>
    <w:rsid w:val="002330AC"/>
    <w:rsid w:val="00233681"/>
    <w:rsid w:val="00233A1D"/>
    <w:rsid w:val="00235C1A"/>
    <w:rsid w:val="002367CF"/>
    <w:rsid w:val="00236C0A"/>
    <w:rsid w:val="00236E9C"/>
    <w:rsid w:val="002372DD"/>
    <w:rsid w:val="002375F9"/>
    <w:rsid w:val="00237902"/>
    <w:rsid w:val="002407CF"/>
    <w:rsid w:val="00240A4D"/>
    <w:rsid w:val="00241364"/>
    <w:rsid w:val="00243CB1"/>
    <w:rsid w:val="0024442E"/>
    <w:rsid w:val="002444E3"/>
    <w:rsid w:val="002449FC"/>
    <w:rsid w:val="00244B49"/>
    <w:rsid w:val="00244CC5"/>
    <w:rsid w:val="0024527C"/>
    <w:rsid w:val="0024533A"/>
    <w:rsid w:val="0024598E"/>
    <w:rsid w:val="002459EC"/>
    <w:rsid w:val="00245C89"/>
    <w:rsid w:val="00247894"/>
    <w:rsid w:val="00247948"/>
    <w:rsid w:val="00250064"/>
    <w:rsid w:val="00250209"/>
    <w:rsid w:val="00251A22"/>
    <w:rsid w:val="00251A75"/>
    <w:rsid w:val="00251AF4"/>
    <w:rsid w:val="00252C6C"/>
    <w:rsid w:val="00253466"/>
    <w:rsid w:val="002547BA"/>
    <w:rsid w:val="00255E43"/>
    <w:rsid w:val="002561D3"/>
    <w:rsid w:val="002572DD"/>
    <w:rsid w:val="00257642"/>
    <w:rsid w:val="00257A64"/>
    <w:rsid w:val="00257DA6"/>
    <w:rsid w:val="00261398"/>
    <w:rsid w:val="0026145D"/>
    <w:rsid w:val="002617A2"/>
    <w:rsid w:val="00262D2C"/>
    <w:rsid w:val="00263681"/>
    <w:rsid w:val="00263CED"/>
    <w:rsid w:val="002640D3"/>
    <w:rsid w:val="00266794"/>
    <w:rsid w:val="00266A46"/>
    <w:rsid w:val="00267795"/>
    <w:rsid w:val="002708ED"/>
    <w:rsid w:val="00270C3E"/>
    <w:rsid w:val="00270C5E"/>
    <w:rsid w:val="002717C7"/>
    <w:rsid w:val="002723E2"/>
    <w:rsid w:val="002734DA"/>
    <w:rsid w:val="00274855"/>
    <w:rsid w:val="00274A8C"/>
    <w:rsid w:val="00275DE2"/>
    <w:rsid w:val="00275EE0"/>
    <w:rsid w:val="00276D4D"/>
    <w:rsid w:val="0027768E"/>
    <w:rsid w:val="00277A22"/>
    <w:rsid w:val="00280048"/>
    <w:rsid w:val="00280AB3"/>
    <w:rsid w:val="00281081"/>
    <w:rsid w:val="00281F39"/>
    <w:rsid w:val="002823FB"/>
    <w:rsid w:val="00283342"/>
    <w:rsid w:val="00283E90"/>
    <w:rsid w:val="00283FC1"/>
    <w:rsid w:val="002848B6"/>
    <w:rsid w:val="002848FC"/>
    <w:rsid w:val="00284A6F"/>
    <w:rsid w:val="00285074"/>
    <w:rsid w:val="002863AD"/>
    <w:rsid w:val="00287E53"/>
    <w:rsid w:val="00290D9D"/>
    <w:rsid w:val="00290E0D"/>
    <w:rsid w:val="00294AED"/>
    <w:rsid w:val="00294BED"/>
    <w:rsid w:val="00295DA0"/>
    <w:rsid w:val="0029638F"/>
    <w:rsid w:val="00297C28"/>
    <w:rsid w:val="00297EB5"/>
    <w:rsid w:val="002A0DCD"/>
    <w:rsid w:val="002A18C9"/>
    <w:rsid w:val="002A1E9A"/>
    <w:rsid w:val="002A4619"/>
    <w:rsid w:val="002A4643"/>
    <w:rsid w:val="002A5356"/>
    <w:rsid w:val="002A58B6"/>
    <w:rsid w:val="002A598C"/>
    <w:rsid w:val="002A675B"/>
    <w:rsid w:val="002A68B6"/>
    <w:rsid w:val="002A6A91"/>
    <w:rsid w:val="002A7162"/>
    <w:rsid w:val="002A7685"/>
    <w:rsid w:val="002A7EFA"/>
    <w:rsid w:val="002B1190"/>
    <w:rsid w:val="002B126E"/>
    <w:rsid w:val="002B1840"/>
    <w:rsid w:val="002B2598"/>
    <w:rsid w:val="002B2963"/>
    <w:rsid w:val="002B427B"/>
    <w:rsid w:val="002B492E"/>
    <w:rsid w:val="002B49C3"/>
    <w:rsid w:val="002B54C0"/>
    <w:rsid w:val="002B6B14"/>
    <w:rsid w:val="002B6CD0"/>
    <w:rsid w:val="002B707B"/>
    <w:rsid w:val="002B7DAC"/>
    <w:rsid w:val="002B7DE9"/>
    <w:rsid w:val="002C0BE4"/>
    <w:rsid w:val="002C1F2B"/>
    <w:rsid w:val="002C37D3"/>
    <w:rsid w:val="002C4359"/>
    <w:rsid w:val="002C4461"/>
    <w:rsid w:val="002C4F44"/>
    <w:rsid w:val="002C56BC"/>
    <w:rsid w:val="002C6D06"/>
    <w:rsid w:val="002C743C"/>
    <w:rsid w:val="002D11E9"/>
    <w:rsid w:val="002D1BB8"/>
    <w:rsid w:val="002D2589"/>
    <w:rsid w:val="002D2B11"/>
    <w:rsid w:val="002D4CE6"/>
    <w:rsid w:val="002D65C4"/>
    <w:rsid w:val="002D6CA2"/>
    <w:rsid w:val="002D777A"/>
    <w:rsid w:val="002D7C9A"/>
    <w:rsid w:val="002D7D98"/>
    <w:rsid w:val="002E2724"/>
    <w:rsid w:val="002E2CC8"/>
    <w:rsid w:val="002E2D92"/>
    <w:rsid w:val="002E2F46"/>
    <w:rsid w:val="002E3156"/>
    <w:rsid w:val="002E348D"/>
    <w:rsid w:val="002E486B"/>
    <w:rsid w:val="002E4A25"/>
    <w:rsid w:val="002E4A86"/>
    <w:rsid w:val="002E4C94"/>
    <w:rsid w:val="002E50A0"/>
    <w:rsid w:val="002E7373"/>
    <w:rsid w:val="002E7570"/>
    <w:rsid w:val="002E7688"/>
    <w:rsid w:val="002F00B2"/>
    <w:rsid w:val="002F13A1"/>
    <w:rsid w:val="002F16F8"/>
    <w:rsid w:val="002F2D73"/>
    <w:rsid w:val="002F3238"/>
    <w:rsid w:val="002F369B"/>
    <w:rsid w:val="002F4BB4"/>
    <w:rsid w:val="002F4BF8"/>
    <w:rsid w:val="002F4F89"/>
    <w:rsid w:val="002F6710"/>
    <w:rsid w:val="002F6B40"/>
    <w:rsid w:val="002F6FD6"/>
    <w:rsid w:val="002F7766"/>
    <w:rsid w:val="002F7A95"/>
    <w:rsid w:val="003000C0"/>
    <w:rsid w:val="00300311"/>
    <w:rsid w:val="003004D8"/>
    <w:rsid w:val="00300E7D"/>
    <w:rsid w:val="00301408"/>
    <w:rsid w:val="00302404"/>
    <w:rsid w:val="00302602"/>
    <w:rsid w:val="0030299C"/>
    <w:rsid w:val="00302AD7"/>
    <w:rsid w:val="00302BF1"/>
    <w:rsid w:val="00303854"/>
    <w:rsid w:val="00303D0D"/>
    <w:rsid w:val="00305360"/>
    <w:rsid w:val="00306541"/>
    <w:rsid w:val="003079F8"/>
    <w:rsid w:val="00310B49"/>
    <w:rsid w:val="00310E9F"/>
    <w:rsid w:val="00311F0A"/>
    <w:rsid w:val="00312067"/>
    <w:rsid w:val="00312248"/>
    <w:rsid w:val="0031253F"/>
    <w:rsid w:val="00312C3E"/>
    <w:rsid w:val="003139CA"/>
    <w:rsid w:val="00313A66"/>
    <w:rsid w:val="00314D5E"/>
    <w:rsid w:val="00315112"/>
    <w:rsid w:val="00316585"/>
    <w:rsid w:val="00316720"/>
    <w:rsid w:val="00316CF8"/>
    <w:rsid w:val="00317724"/>
    <w:rsid w:val="00317D7D"/>
    <w:rsid w:val="00317E2B"/>
    <w:rsid w:val="00320577"/>
    <w:rsid w:val="00320F2E"/>
    <w:rsid w:val="00320FD6"/>
    <w:rsid w:val="003212D3"/>
    <w:rsid w:val="003216D0"/>
    <w:rsid w:val="00321D75"/>
    <w:rsid w:val="0032285A"/>
    <w:rsid w:val="00322E4E"/>
    <w:rsid w:val="003235FD"/>
    <w:rsid w:val="003238D8"/>
    <w:rsid w:val="00323DD0"/>
    <w:rsid w:val="00324019"/>
    <w:rsid w:val="00324350"/>
    <w:rsid w:val="0032469D"/>
    <w:rsid w:val="00324CC4"/>
    <w:rsid w:val="00326805"/>
    <w:rsid w:val="0032699F"/>
    <w:rsid w:val="00326D20"/>
    <w:rsid w:val="00330C92"/>
    <w:rsid w:val="00330CA8"/>
    <w:rsid w:val="00330E77"/>
    <w:rsid w:val="0033130C"/>
    <w:rsid w:val="00331C0C"/>
    <w:rsid w:val="00332416"/>
    <w:rsid w:val="00332534"/>
    <w:rsid w:val="003329A0"/>
    <w:rsid w:val="0033454C"/>
    <w:rsid w:val="00335092"/>
    <w:rsid w:val="003357ED"/>
    <w:rsid w:val="00335D2E"/>
    <w:rsid w:val="00336DCE"/>
    <w:rsid w:val="0033766E"/>
    <w:rsid w:val="00341000"/>
    <w:rsid w:val="00341404"/>
    <w:rsid w:val="00341690"/>
    <w:rsid w:val="00342193"/>
    <w:rsid w:val="0034262D"/>
    <w:rsid w:val="003429CB"/>
    <w:rsid w:val="003429E3"/>
    <w:rsid w:val="00343845"/>
    <w:rsid w:val="00344C68"/>
    <w:rsid w:val="0034574B"/>
    <w:rsid w:val="003457E2"/>
    <w:rsid w:val="00346905"/>
    <w:rsid w:val="003517CD"/>
    <w:rsid w:val="00353188"/>
    <w:rsid w:val="00354456"/>
    <w:rsid w:val="0035661A"/>
    <w:rsid w:val="003572EC"/>
    <w:rsid w:val="00357DDD"/>
    <w:rsid w:val="0036007C"/>
    <w:rsid w:val="003609A9"/>
    <w:rsid w:val="0036178B"/>
    <w:rsid w:val="00361C18"/>
    <w:rsid w:val="0036201A"/>
    <w:rsid w:val="0036224D"/>
    <w:rsid w:val="00362615"/>
    <w:rsid w:val="00363700"/>
    <w:rsid w:val="0036467F"/>
    <w:rsid w:val="00364879"/>
    <w:rsid w:val="0036594D"/>
    <w:rsid w:val="00365A41"/>
    <w:rsid w:val="00365D8B"/>
    <w:rsid w:val="00367910"/>
    <w:rsid w:val="0037001D"/>
    <w:rsid w:val="003715C8"/>
    <w:rsid w:val="00371B3C"/>
    <w:rsid w:val="003723D6"/>
    <w:rsid w:val="003728F4"/>
    <w:rsid w:val="00373168"/>
    <w:rsid w:val="003741AE"/>
    <w:rsid w:val="003742D6"/>
    <w:rsid w:val="003767EA"/>
    <w:rsid w:val="00376B46"/>
    <w:rsid w:val="00376F1B"/>
    <w:rsid w:val="003774B6"/>
    <w:rsid w:val="003777D5"/>
    <w:rsid w:val="003807BE"/>
    <w:rsid w:val="00380F7D"/>
    <w:rsid w:val="003818FF"/>
    <w:rsid w:val="003828A9"/>
    <w:rsid w:val="00383734"/>
    <w:rsid w:val="00384174"/>
    <w:rsid w:val="00384D35"/>
    <w:rsid w:val="0038612B"/>
    <w:rsid w:val="003903E9"/>
    <w:rsid w:val="00390A89"/>
    <w:rsid w:val="00390B5F"/>
    <w:rsid w:val="00390CE5"/>
    <w:rsid w:val="003911ED"/>
    <w:rsid w:val="00391696"/>
    <w:rsid w:val="00391938"/>
    <w:rsid w:val="00391A68"/>
    <w:rsid w:val="00391C5B"/>
    <w:rsid w:val="0039220D"/>
    <w:rsid w:val="003940E4"/>
    <w:rsid w:val="00394A33"/>
    <w:rsid w:val="00394ED4"/>
    <w:rsid w:val="003950F9"/>
    <w:rsid w:val="00395433"/>
    <w:rsid w:val="00395C98"/>
    <w:rsid w:val="00396085"/>
    <w:rsid w:val="00396300"/>
    <w:rsid w:val="00396305"/>
    <w:rsid w:val="00396713"/>
    <w:rsid w:val="0039686B"/>
    <w:rsid w:val="00396EED"/>
    <w:rsid w:val="003971B4"/>
    <w:rsid w:val="003A0B36"/>
    <w:rsid w:val="003A0D70"/>
    <w:rsid w:val="003A1713"/>
    <w:rsid w:val="003A1935"/>
    <w:rsid w:val="003A1B1F"/>
    <w:rsid w:val="003A341C"/>
    <w:rsid w:val="003A3CF9"/>
    <w:rsid w:val="003A3E5B"/>
    <w:rsid w:val="003A3F8B"/>
    <w:rsid w:val="003A4266"/>
    <w:rsid w:val="003A428C"/>
    <w:rsid w:val="003A4E2F"/>
    <w:rsid w:val="003A5A68"/>
    <w:rsid w:val="003A6D60"/>
    <w:rsid w:val="003A6E57"/>
    <w:rsid w:val="003A7F7D"/>
    <w:rsid w:val="003B0375"/>
    <w:rsid w:val="003B0928"/>
    <w:rsid w:val="003B105C"/>
    <w:rsid w:val="003B1AA2"/>
    <w:rsid w:val="003B2317"/>
    <w:rsid w:val="003B24C6"/>
    <w:rsid w:val="003B36A6"/>
    <w:rsid w:val="003B3775"/>
    <w:rsid w:val="003B3B90"/>
    <w:rsid w:val="003B3EB4"/>
    <w:rsid w:val="003B4696"/>
    <w:rsid w:val="003B503A"/>
    <w:rsid w:val="003B533B"/>
    <w:rsid w:val="003B670E"/>
    <w:rsid w:val="003B68CB"/>
    <w:rsid w:val="003B6945"/>
    <w:rsid w:val="003C0D74"/>
    <w:rsid w:val="003C12EE"/>
    <w:rsid w:val="003C133A"/>
    <w:rsid w:val="003C18F8"/>
    <w:rsid w:val="003C24B8"/>
    <w:rsid w:val="003C2A83"/>
    <w:rsid w:val="003C31D8"/>
    <w:rsid w:val="003C398F"/>
    <w:rsid w:val="003C4B1D"/>
    <w:rsid w:val="003C6A97"/>
    <w:rsid w:val="003C6D00"/>
    <w:rsid w:val="003C7800"/>
    <w:rsid w:val="003D21DF"/>
    <w:rsid w:val="003D2917"/>
    <w:rsid w:val="003D37D6"/>
    <w:rsid w:val="003D3C2C"/>
    <w:rsid w:val="003D3FAF"/>
    <w:rsid w:val="003D412C"/>
    <w:rsid w:val="003D41DC"/>
    <w:rsid w:val="003D4D3A"/>
    <w:rsid w:val="003D5152"/>
    <w:rsid w:val="003D51AF"/>
    <w:rsid w:val="003D546C"/>
    <w:rsid w:val="003D5B47"/>
    <w:rsid w:val="003D6BD7"/>
    <w:rsid w:val="003D6C96"/>
    <w:rsid w:val="003D7001"/>
    <w:rsid w:val="003E12A3"/>
    <w:rsid w:val="003E2E75"/>
    <w:rsid w:val="003E426A"/>
    <w:rsid w:val="003E4D04"/>
    <w:rsid w:val="003E5078"/>
    <w:rsid w:val="003E53F4"/>
    <w:rsid w:val="003E6958"/>
    <w:rsid w:val="003E6D4C"/>
    <w:rsid w:val="003E76BB"/>
    <w:rsid w:val="003E7A63"/>
    <w:rsid w:val="003E7CC5"/>
    <w:rsid w:val="003F0974"/>
    <w:rsid w:val="003F09BE"/>
    <w:rsid w:val="003F0AFE"/>
    <w:rsid w:val="003F0C46"/>
    <w:rsid w:val="003F2592"/>
    <w:rsid w:val="003F3410"/>
    <w:rsid w:val="003F349B"/>
    <w:rsid w:val="003F3A9F"/>
    <w:rsid w:val="003F3C29"/>
    <w:rsid w:val="003F3EBF"/>
    <w:rsid w:val="003F5889"/>
    <w:rsid w:val="003F69C8"/>
    <w:rsid w:val="003F74B6"/>
    <w:rsid w:val="003F7558"/>
    <w:rsid w:val="003F758C"/>
    <w:rsid w:val="003F7BC8"/>
    <w:rsid w:val="004000C1"/>
    <w:rsid w:val="004000CB"/>
    <w:rsid w:val="004006E6"/>
    <w:rsid w:val="00401B67"/>
    <w:rsid w:val="00401E5A"/>
    <w:rsid w:val="0040200B"/>
    <w:rsid w:val="004021C8"/>
    <w:rsid w:val="00403B8B"/>
    <w:rsid w:val="00404801"/>
    <w:rsid w:val="00404907"/>
    <w:rsid w:val="00404CBB"/>
    <w:rsid w:val="00405F6D"/>
    <w:rsid w:val="0040619F"/>
    <w:rsid w:val="00406B9E"/>
    <w:rsid w:val="00407158"/>
    <w:rsid w:val="0040715F"/>
    <w:rsid w:val="00407567"/>
    <w:rsid w:val="004075F8"/>
    <w:rsid w:val="004109B4"/>
    <w:rsid w:val="00410D2A"/>
    <w:rsid w:val="00411624"/>
    <w:rsid w:val="004139A3"/>
    <w:rsid w:val="004139B5"/>
    <w:rsid w:val="004141FD"/>
    <w:rsid w:val="00414594"/>
    <w:rsid w:val="00415B9A"/>
    <w:rsid w:val="004175DA"/>
    <w:rsid w:val="004213FD"/>
    <w:rsid w:val="00421624"/>
    <w:rsid w:val="0042231A"/>
    <w:rsid w:val="00423074"/>
    <w:rsid w:val="004232CC"/>
    <w:rsid w:val="0042380C"/>
    <w:rsid w:val="004238AD"/>
    <w:rsid w:val="00423A11"/>
    <w:rsid w:val="00423FA9"/>
    <w:rsid w:val="00424032"/>
    <w:rsid w:val="004240E8"/>
    <w:rsid w:val="00424A34"/>
    <w:rsid w:val="00425A18"/>
    <w:rsid w:val="00426E07"/>
    <w:rsid w:val="00427AAA"/>
    <w:rsid w:val="00427F6D"/>
    <w:rsid w:val="00430064"/>
    <w:rsid w:val="00430622"/>
    <w:rsid w:val="00431353"/>
    <w:rsid w:val="00431623"/>
    <w:rsid w:val="004317FF"/>
    <w:rsid w:val="00431A5E"/>
    <w:rsid w:val="00431D33"/>
    <w:rsid w:val="00432569"/>
    <w:rsid w:val="00432AEE"/>
    <w:rsid w:val="00432EA6"/>
    <w:rsid w:val="0043322F"/>
    <w:rsid w:val="00434607"/>
    <w:rsid w:val="00435EB1"/>
    <w:rsid w:val="00436E27"/>
    <w:rsid w:val="004376CA"/>
    <w:rsid w:val="00437B29"/>
    <w:rsid w:val="00443314"/>
    <w:rsid w:val="004436BC"/>
    <w:rsid w:val="00444721"/>
    <w:rsid w:val="004449E0"/>
    <w:rsid w:val="00444A05"/>
    <w:rsid w:val="00444F6E"/>
    <w:rsid w:val="00445468"/>
    <w:rsid w:val="00445953"/>
    <w:rsid w:val="00445F16"/>
    <w:rsid w:val="00446421"/>
    <w:rsid w:val="0044692E"/>
    <w:rsid w:val="00450126"/>
    <w:rsid w:val="00452923"/>
    <w:rsid w:val="0045533D"/>
    <w:rsid w:val="00455E85"/>
    <w:rsid w:val="00456035"/>
    <w:rsid w:val="00456F8C"/>
    <w:rsid w:val="004573B7"/>
    <w:rsid w:val="00457C37"/>
    <w:rsid w:val="0046100D"/>
    <w:rsid w:val="00461176"/>
    <w:rsid w:val="00461334"/>
    <w:rsid w:val="004615A8"/>
    <w:rsid w:val="00461FE9"/>
    <w:rsid w:val="00463447"/>
    <w:rsid w:val="00464D11"/>
    <w:rsid w:val="004653C6"/>
    <w:rsid w:val="004657C4"/>
    <w:rsid w:val="00466784"/>
    <w:rsid w:val="00466D07"/>
    <w:rsid w:val="00467088"/>
    <w:rsid w:val="00467129"/>
    <w:rsid w:val="0046727B"/>
    <w:rsid w:val="00467D71"/>
    <w:rsid w:val="0047061E"/>
    <w:rsid w:val="00471591"/>
    <w:rsid w:val="00471A47"/>
    <w:rsid w:val="00471D14"/>
    <w:rsid w:val="00473935"/>
    <w:rsid w:val="0047412D"/>
    <w:rsid w:val="00474184"/>
    <w:rsid w:val="00477253"/>
    <w:rsid w:val="004801E3"/>
    <w:rsid w:val="0048083D"/>
    <w:rsid w:val="0048138B"/>
    <w:rsid w:val="0048178C"/>
    <w:rsid w:val="00483C84"/>
    <w:rsid w:val="004841BD"/>
    <w:rsid w:val="00484682"/>
    <w:rsid w:val="00484704"/>
    <w:rsid w:val="00485FF6"/>
    <w:rsid w:val="00486B23"/>
    <w:rsid w:val="00487527"/>
    <w:rsid w:val="00487690"/>
    <w:rsid w:val="00487A13"/>
    <w:rsid w:val="00490450"/>
    <w:rsid w:val="00490697"/>
    <w:rsid w:val="00490CD6"/>
    <w:rsid w:val="0049233C"/>
    <w:rsid w:val="004933EF"/>
    <w:rsid w:val="00493F1E"/>
    <w:rsid w:val="00494EF0"/>
    <w:rsid w:val="004966ED"/>
    <w:rsid w:val="00496C3F"/>
    <w:rsid w:val="00497232"/>
    <w:rsid w:val="00497544"/>
    <w:rsid w:val="00497868"/>
    <w:rsid w:val="004A0B54"/>
    <w:rsid w:val="004A1B0E"/>
    <w:rsid w:val="004A1DB6"/>
    <w:rsid w:val="004A2865"/>
    <w:rsid w:val="004A3CEA"/>
    <w:rsid w:val="004A3CFA"/>
    <w:rsid w:val="004A4E30"/>
    <w:rsid w:val="004A53E6"/>
    <w:rsid w:val="004A5465"/>
    <w:rsid w:val="004A597B"/>
    <w:rsid w:val="004A59F6"/>
    <w:rsid w:val="004A5C58"/>
    <w:rsid w:val="004A65A8"/>
    <w:rsid w:val="004A684E"/>
    <w:rsid w:val="004A68CD"/>
    <w:rsid w:val="004A7B60"/>
    <w:rsid w:val="004B0BE8"/>
    <w:rsid w:val="004B0D99"/>
    <w:rsid w:val="004B1814"/>
    <w:rsid w:val="004B1E22"/>
    <w:rsid w:val="004B2F6E"/>
    <w:rsid w:val="004B5A27"/>
    <w:rsid w:val="004B5F18"/>
    <w:rsid w:val="004B67DF"/>
    <w:rsid w:val="004B7677"/>
    <w:rsid w:val="004C1774"/>
    <w:rsid w:val="004C3695"/>
    <w:rsid w:val="004C5CF0"/>
    <w:rsid w:val="004C5DAE"/>
    <w:rsid w:val="004C5F9F"/>
    <w:rsid w:val="004C6144"/>
    <w:rsid w:val="004C661D"/>
    <w:rsid w:val="004C6F79"/>
    <w:rsid w:val="004C7A31"/>
    <w:rsid w:val="004C7B1F"/>
    <w:rsid w:val="004C7B98"/>
    <w:rsid w:val="004D2987"/>
    <w:rsid w:val="004D2FB4"/>
    <w:rsid w:val="004D3AA6"/>
    <w:rsid w:val="004D43D7"/>
    <w:rsid w:val="004D4D01"/>
    <w:rsid w:val="004D526E"/>
    <w:rsid w:val="004D5843"/>
    <w:rsid w:val="004D61A6"/>
    <w:rsid w:val="004E05C9"/>
    <w:rsid w:val="004E0DB5"/>
    <w:rsid w:val="004E13B3"/>
    <w:rsid w:val="004E1669"/>
    <w:rsid w:val="004E2DBC"/>
    <w:rsid w:val="004E38F3"/>
    <w:rsid w:val="004E452F"/>
    <w:rsid w:val="004E471B"/>
    <w:rsid w:val="004E5B98"/>
    <w:rsid w:val="004E5DD2"/>
    <w:rsid w:val="004E7569"/>
    <w:rsid w:val="004E7B72"/>
    <w:rsid w:val="004F05BA"/>
    <w:rsid w:val="004F0FBC"/>
    <w:rsid w:val="004F1049"/>
    <w:rsid w:val="004F10DC"/>
    <w:rsid w:val="004F1B65"/>
    <w:rsid w:val="004F3422"/>
    <w:rsid w:val="004F4843"/>
    <w:rsid w:val="004F4B9F"/>
    <w:rsid w:val="004F5319"/>
    <w:rsid w:val="004F5800"/>
    <w:rsid w:val="004F5F0D"/>
    <w:rsid w:val="004F61DC"/>
    <w:rsid w:val="004F6968"/>
    <w:rsid w:val="004F6DD8"/>
    <w:rsid w:val="004F6F4B"/>
    <w:rsid w:val="004F70B8"/>
    <w:rsid w:val="005005DA"/>
    <w:rsid w:val="0050167A"/>
    <w:rsid w:val="00501ED2"/>
    <w:rsid w:val="00503428"/>
    <w:rsid w:val="00504AB2"/>
    <w:rsid w:val="0050580D"/>
    <w:rsid w:val="00505918"/>
    <w:rsid w:val="00506E59"/>
    <w:rsid w:val="005073CA"/>
    <w:rsid w:val="00507763"/>
    <w:rsid w:val="00507C18"/>
    <w:rsid w:val="005101C4"/>
    <w:rsid w:val="005103EB"/>
    <w:rsid w:val="00510916"/>
    <w:rsid w:val="00510A72"/>
    <w:rsid w:val="00511215"/>
    <w:rsid w:val="00511403"/>
    <w:rsid w:val="00511EF9"/>
    <w:rsid w:val="005120F3"/>
    <w:rsid w:val="00512CBA"/>
    <w:rsid w:val="00512FF8"/>
    <w:rsid w:val="00513B19"/>
    <w:rsid w:val="00513DE4"/>
    <w:rsid w:val="00514570"/>
    <w:rsid w:val="00517CE0"/>
    <w:rsid w:val="00517F00"/>
    <w:rsid w:val="00520312"/>
    <w:rsid w:val="0052066E"/>
    <w:rsid w:val="00520EB8"/>
    <w:rsid w:val="00521E95"/>
    <w:rsid w:val="00523415"/>
    <w:rsid w:val="00523977"/>
    <w:rsid w:val="00523A71"/>
    <w:rsid w:val="00523C83"/>
    <w:rsid w:val="00523FD8"/>
    <w:rsid w:val="005247F7"/>
    <w:rsid w:val="00524AB6"/>
    <w:rsid w:val="0052548B"/>
    <w:rsid w:val="00525B38"/>
    <w:rsid w:val="00525DAE"/>
    <w:rsid w:val="005265D8"/>
    <w:rsid w:val="005268BC"/>
    <w:rsid w:val="00526EC3"/>
    <w:rsid w:val="00526EED"/>
    <w:rsid w:val="00527144"/>
    <w:rsid w:val="0052747D"/>
    <w:rsid w:val="00527789"/>
    <w:rsid w:val="00527C22"/>
    <w:rsid w:val="0053046D"/>
    <w:rsid w:val="0053065B"/>
    <w:rsid w:val="00531153"/>
    <w:rsid w:val="005311A6"/>
    <w:rsid w:val="0053139C"/>
    <w:rsid w:val="005319D5"/>
    <w:rsid w:val="00532408"/>
    <w:rsid w:val="0053267D"/>
    <w:rsid w:val="00533325"/>
    <w:rsid w:val="005333B0"/>
    <w:rsid w:val="005338AC"/>
    <w:rsid w:val="00534938"/>
    <w:rsid w:val="0053620A"/>
    <w:rsid w:val="00536516"/>
    <w:rsid w:val="00537B64"/>
    <w:rsid w:val="00537BD1"/>
    <w:rsid w:val="00537D48"/>
    <w:rsid w:val="00540217"/>
    <w:rsid w:val="00540470"/>
    <w:rsid w:val="00540543"/>
    <w:rsid w:val="00540DB0"/>
    <w:rsid w:val="00540E32"/>
    <w:rsid w:val="00542AD1"/>
    <w:rsid w:val="0054325D"/>
    <w:rsid w:val="00543B60"/>
    <w:rsid w:val="00543F92"/>
    <w:rsid w:val="00545FB4"/>
    <w:rsid w:val="005461BB"/>
    <w:rsid w:val="005502C9"/>
    <w:rsid w:val="005511BB"/>
    <w:rsid w:val="005521DC"/>
    <w:rsid w:val="00552A61"/>
    <w:rsid w:val="00552DAA"/>
    <w:rsid w:val="005536F6"/>
    <w:rsid w:val="00553BBB"/>
    <w:rsid w:val="00553E07"/>
    <w:rsid w:val="00553FFA"/>
    <w:rsid w:val="0055497E"/>
    <w:rsid w:val="00555950"/>
    <w:rsid w:val="00555DF2"/>
    <w:rsid w:val="00556469"/>
    <w:rsid w:val="005576C5"/>
    <w:rsid w:val="0055774F"/>
    <w:rsid w:val="00557809"/>
    <w:rsid w:val="00560754"/>
    <w:rsid w:val="00560D60"/>
    <w:rsid w:val="00561C4C"/>
    <w:rsid w:val="00562FA2"/>
    <w:rsid w:val="00562FD9"/>
    <w:rsid w:val="00563248"/>
    <w:rsid w:val="00564112"/>
    <w:rsid w:val="005643FD"/>
    <w:rsid w:val="0056490A"/>
    <w:rsid w:val="00564FF5"/>
    <w:rsid w:val="00565167"/>
    <w:rsid w:val="0056551B"/>
    <w:rsid w:val="005656A5"/>
    <w:rsid w:val="00565C89"/>
    <w:rsid w:val="00565D52"/>
    <w:rsid w:val="00566170"/>
    <w:rsid w:val="00570AF3"/>
    <w:rsid w:val="00570E90"/>
    <w:rsid w:val="0057170C"/>
    <w:rsid w:val="00571DB2"/>
    <w:rsid w:val="0057259B"/>
    <w:rsid w:val="005725C7"/>
    <w:rsid w:val="0057364A"/>
    <w:rsid w:val="00573EE6"/>
    <w:rsid w:val="0057462C"/>
    <w:rsid w:val="005746F8"/>
    <w:rsid w:val="00574D15"/>
    <w:rsid w:val="00574ED4"/>
    <w:rsid w:val="005750D8"/>
    <w:rsid w:val="005754FD"/>
    <w:rsid w:val="00575961"/>
    <w:rsid w:val="005800B9"/>
    <w:rsid w:val="00580907"/>
    <w:rsid w:val="00581455"/>
    <w:rsid w:val="005820EF"/>
    <w:rsid w:val="00582579"/>
    <w:rsid w:val="005830B6"/>
    <w:rsid w:val="00584B1D"/>
    <w:rsid w:val="005852B7"/>
    <w:rsid w:val="0058550D"/>
    <w:rsid w:val="0058591C"/>
    <w:rsid w:val="005859DB"/>
    <w:rsid w:val="00585CB3"/>
    <w:rsid w:val="005860E9"/>
    <w:rsid w:val="0058610B"/>
    <w:rsid w:val="00586620"/>
    <w:rsid w:val="0058671B"/>
    <w:rsid w:val="005868E7"/>
    <w:rsid w:val="00586B18"/>
    <w:rsid w:val="00587DE3"/>
    <w:rsid w:val="005906B9"/>
    <w:rsid w:val="00590D2C"/>
    <w:rsid w:val="00593556"/>
    <w:rsid w:val="005936F8"/>
    <w:rsid w:val="00593C1C"/>
    <w:rsid w:val="005952E2"/>
    <w:rsid w:val="0059586E"/>
    <w:rsid w:val="00595EF8"/>
    <w:rsid w:val="00596A34"/>
    <w:rsid w:val="00596DDD"/>
    <w:rsid w:val="005970AA"/>
    <w:rsid w:val="00597600"/>
    <w:rsid w:val="00597EA4"/>
    <w:rsid w:val="00597F97"/>
    <w:rsid w:val="005A29A4"/>
    <w:rsid w:val="005A2CC1"/>
    <w:rsid w:val="005A2E29"/>
    <w:rsid w:val="005A41CE"/>
    <w:rsid w:val="005A42B3"/>
    <w:rsid w:val="005A5D50"/>
    <w:rsid w:val="005A6B1B"/>
    <w:rsid w:val="005A7126"/>
    <w:rsid w:val="005A7421"/>
    <w:rsid w:val="005A79B0"/>
    <w:rsid w:val="005B023C"/>
    <w:rsid w:val="005B076D"/>
    <w:rsid w:val="005B0B3D"/>
    <w:rsid w:val="005B101D"/>
    <w:rsid w:val="005B10D8"/>
    <w:rsid w:val="005B1724"/>
    <w:rsid w:val="005B19FA"/>
    <w:rsid w:val="005B1D76"/>
    <w:rsid w:val="005B242A"/>
    <w:rsid w:val="005B27AF"/>
    <w:rsid w:val="005B2A97"/>
    <w:rsid w:val="005B2D97"/>
    <w:rsid w:val="005B2EDC"/>
    <w:rsid w:val="005B3433"/>
    <w:rsid w:val="005B4AF4"/>
    <w:rsid w:val="005B4F84"/>
    <w:rsid w:val="005B5751"/>
    <w:rsid w:val="005B6331"/>
    <w:rsid w:val="005B7508"/>
    <w:rsid w:val="005B7A9F"/>
    <w:rsid w:val="005B7BAD"/>
    <w:rsid w:val="005C043A"/>
    <w:rsid w:val="005C09FF"/>
    <w:rsid w:val="005C11BD"/>
    <w:rsid w:val="005C197C"/>
    <w:rsid w:val="005C19B6"/>
    <w:rsid w:val="005C277B"/>
    <w:rsid w:val="005C3268"/>
    <w:rsid w:val="005C35A5"/>
    <w:rsid w:val="005C381A"/>
    <w:rsid w:val="005C3A9A"/>
    <w:rsid w:val="005C40E3"/>
    <w:rsid w:val="005C45E2"/>
    <w:rsid w:val="005C4BFD"/>
    <w:rsid w:val="005C582D"/>
    <w:rsid w:val="005C58F0"/>
    <w:rsid w:val="005C5AB7"/>
    <w:rsid w:val="005C62CE"/>
    <w:rsid w:val="005C645E"/>
    <w:rsid w:val="005D045B"/>
    <w:rsid w:val="005D0EEB"/>
    <w:rsid w:val="005D1451"/>
    <w:rsid w:val="005D1DFD"/>
    <w:rsid w:val="005D342B"/>
    <w:rsid w:val="005D37B7"/>
    <w:rsid w:val="005D49E1"/>
    <w:rsid w:val="005D4A8F"/>
    <w:rsid w:val="005D5C0D"/>
    <w:rsid w:val="005D6594"/>
    <w:rsid w:val="005D75CE"/>
    <w:rsid w:val="005E17BC"/>
    <w:rsid w:val="005E1BCF"/>
    <w:rsid w:val="005E2B7F"/>
    <w:rsid w:val="005E3118"/>
    <w:rsid w:val="005E3CEF"/>
    <w:rsid w:val="005E419C"/>
    <w:rsid w:val="005E4B96"/>
    <w:rsid w:val="005E5A94"/>
    <w:rsid w:val="005E5C48"/>
    <w:rsid w:val="005E67B8"/>
    <w:rsid w:val="005E73AA"/>
    <w:rsid w:val="005E7C60"/>
    <w:rsid w:val="005F0F06"/>
    <w:rsid w:val="005F16F9"/>
    <w:rsid w:val="005F247F"/>
    <w:rsid w:val="005F2A80"/>
    <w:rsid w:val="005F318E"/>
    <w:rsid w:val="005F43FF"/>
    <w:rsid w:val="005F7D9B"/>
    <w:rsid w:val="005F7EEE"/>
    <w:rsid w:val="0060031E"/>
    <w:rsid w:val="006006D7"/>
    <w:rsid w:val="00600F50"/>
    <w:rsid w:val="006018ED"/>
    <w:rsid w:val="00601969"/>
    <w:rsid w:val="00601E47"/>
    <w:rsid w:val="0060243E"/>
    <w:rsid w:val="0060288B"/>
    <w:rsid w:val="00602C46"/>
    <w:rsid w:val="0060396B"/>
    <w:rsid w:val="0060526C"/>
    <w:rsid w:val="00606AB7"/>
    <w:rsid w:val="00607BE4"/>
    <w:rsid w:val="00607D33"/>
    <w:rsid w:val="00607D74"/>
    <w:rsid w:val="00607F09"/>
    <w:rsid w:val="006113B5"/>
    <w:rsid w:val="0061149C"/>
    <w:rsid w:val="00611F29"/>
    <w:rsid w:val="00612A4A"/>
    <w:rsid w:val="00613A41"/>
    <w:rsid w:val="00613A62"/>
    <w:rsid w:val="00614B2D"/>
    <w:rsid w:val="00615AD6"/>
    <w:rsid w:val="00615D41"/>
    <w:rsid w:val="00616896"/>
    <w:rsid w:val="00617972"/>
    <w:rsid w:val="006202AE"/>
    <w:rsid w:val="0062030F"/>
    <w:rsid w:val="006203EF"/>
    <w:rsid w:val="00621205"/>
    <w:rsid w:val="0062171A"/>
    <w:rsid w:val="0062217A"/>
    <w:rsid w:val="00622391"/>
    <w:rsid w:val="00623D77"/>
    <w:rsid w:val="006240A3"/>
    <w:rsid w:val="0062512F"/>
    <w:rsid w:val="006252FD"/>
    <w:rsid w:val="006270FB"/>
    <w:rsid w:val="00630142"/>
    <w:rsid w:val="00630A19"/>
    <w:rsid w:val="00630D94"/>
    <w:rsid w:val="006311DF"/>
    <w:rsid w:val="00632377"/>
    <w:rsid w:val="00633928"/>
    <w:rsid w:val="0063469C"/>
    <w:rsid w:val="00634CB6"/>
    <w:rsid w:val="006351F2"/>
    <w:rsid w:val="00636527"/>
    <w:rsid w:val="00636B01"/>
    <w:rsid w:val="00636C24"/>
    <w:rsid w:val="00637032"/>
    <w:rsid w:val="0063763D"/>
    <w:rsid w:val="00640253"/>
    <w:rsid w:val="00640270"/>
    <w:rsid w:val="006408B0"/>
    <w:rsid w:val="00640B3B"/>
    <w:rsid w:val="00641310"/>
    <w:rsid w:val="006415C4"/>
    <w:rsid w:val="006419F4"/>
    <w:rsid w:val="006425FA"/>
    <w:rsid w:val="006430EC"/>
    <w:rsid w:val="00643672"/>
    <w:rsid w:val="0064412C"/>
    <w:rsid w:val="006445DF"/>
    <w:rsid w:val="00644B0A"/>
    <w:rsid w:val="00644EBF"/>
    <w:rsid w:val="00645DB7"/>
    <w:rsid w:val="00645FE3"/>
    <w:rsid w:val="00646017"/>
    <w:rsid w:val="00646248"/>
    <w:rsid w:val="00646393"/>
    <w:rsid w:val="00647CE8"/>
    <w:rsid w:val="00650788"/>
    <w:rsid w:val="00650865"/>
    <w:rsid w:val="006521B0"/>
    <w:rsid w:val="00652733"/>
    <w:rsid w:val="006544B4"/>
    <w:rsid w:val="00654994"/>
    <w:rsid w:val="006550E8"/>
    <w:rsid w:val="00656D96"/>
    <w:rsid w:val="00656DD6"/>
    <w:rsid w:val="006572F1"/>
    <w:rsid w:val="006605B5"/>
    <w:rsid w:val="00660CCF"/>
    <w:rsid w:val="006610BB"/>
    <w:rsid w:val="0066267D"/>
    <w:rsid w:val="00662A6E"/>
    <w:rsid w:val="00663C71"/>
    <w:rsid w:val="00664AAB"/>
    <w:rsid w:val="00664F1D"/>
    <w:rsid w:val="00666802"/>
    <w:rsid w:val="006669B6"/>
    <w:rsid w:val="006670E1"/>
    <w:rsid w:val="006676FB"/>
    <w:rsid w:val="00667C5B"/>
    <w:rsid w:val="00667E9E"/>
    <w:rsid w:val="0067010D"/>
    <w:rsid w:val="00670372"/>
    <w:rsid w:val="00670DAF"/>
    <w:rsid w:val="006713BF"/>
    <w:rsid w:val="00672517"/>
    <w:rsid w:val="00673717"/>
    <w:rsid w:val="0067421A"/>
    <w:rsid w:val="00674907"/>
    <w:rsid w:val="00675985"/>
    <w:rsid w:val="006764DE"/>
    <w:rsid w:val="00677542"/>
    <w:rsid w:val="00677BDA"/>
    <w:rsid w:val="00677CEC"/>
    <w:rsid w:val="00677EB7"/>
    <w:rsid w:val="006802B1"/>
    <w:rsid w:val="006813A7"/>
    <w:rsid w:val="00682547"/>
    <w:rsid w:val="00682AAA"/>
    <w:rsid w:val="00682C91"/>
    <w:rsid w:val="0068369D"/>
    <w:rsid w:val="006848AC"/>
    <w:rsid w:val="00684EFB"/>
    <w:rsid w:val="00684F9B"/>
    <w:rsid w:val="006871AF"/>
    <w:rsid w:val="00687C26"/>
    <w:rsid w:val="00687FE0"/>
    <w:rsid w:val="00690FCA"/>
    <w:rsid w:val="006912D3"/>
    <w:rsid w:val="00691A04"/>
    <w:rsid w:val="00692408"/>
    <w:rsid w:val="006924F1"/>
    <w:rsid w:val="00695765"/>
    <w:rsid w:val="00696209"/>
    <w:rsid w:val="00696555"/>
    <w:rsid w:val="006967FF"/>
    <w:rsid w:val="00696AC1"/>
    <w:rsid w:val="00696CFB"/>
    <w:rsid w:val="006971F2"/>
    <w:rsid w:val="0069735E"/>
    <w:rsid w:val="00697386"/>
    <w:rsid w:val="00697A7A"/>
    <w:rsid w:val="00697DDC"/>
    <w:rsid w:val="006A1278"/>
    <w:rsid w:val="006A1B02"/>
    <w:rsid w:val="006A21EA"/>
    <w:rsid w:val="006A2A9B"/>
    <w:rsid w:val="006A30DB"/>
    <w:rsid w:val="006A359B"/>
    <w:rsid w:val="006A36DE"/>
    <w:rsid w:val="006A37E0"/>
    <w:rsid w:val="006A3AAF"/>
    <w:rsid w:val="006A4153"/>
    <w:rsid w:val="006A425A"/>
    <w:rsid w:val="006A4F0D"/>
    <w:rsid w:val="006A7BE0"/>
    <w:rsid w:val="006B068B"/>
    <w:rsid w:val="006B15E4"/>
    <w:rsid w:val="006B23AE"/>
    <w:rsid w:val="006B2A65"/>
    <w:rsid w:val="006B3505"/>
    <w:rsid w:val="006B48F0"/>
    <w:rsid w:val="006B4CE4"/>
    <w:rsid w:val="006B5094"/>
    <w:rsid w:val="006B5D63"/>
    <w:rsid w:val="006B6B71"/>
    <w:rsid w:val="006B7044"/>
    <w:rsid w:val="006B782B"/>
    <w:rsid w:val="006B78FE"/>
    <w:rsid w:val="006B7D94"/>
    <w:rsid w:val="006C0729"/>
    <w:rsid w:val="006C0A9D"/>
    <w:rsid w:val="006C10BE"/>
    <w:rsid w:val="006C1690"/>
    <w:rsid w:val="006C1A33"/>
    <w:rsid w:val="006C2991"/>
    <w:rsid w:val="006C2B6F"/>
    <w:rsid w:val="006C3068"/>
    <w:rsid w:val="006C3FE6"/>
    <w:rsid w:val="006C4918"/>
    <w:rsid w:val="006C52EC"/>
    <w:rsid w:val="006C5360"/>
    <w:rsid w:val="006C6A9A"/>
    <w:rsid w:val="006C6CCD"/>
    <w:rsid w:val="006C6D83"/>
    <w:rsid w:val="006C6EF9"/>
    <w:rsid w:val="006D0E2D"/>
    <w:rsid w:val="006D0E5B"/>
    <w:rsid w:val="006D1D7C"/>
    <w:rsid w:val="006D2002"/>
    <w:rsid w:val="006D381C"/>
    <w:rsid w:val="006D4167"/>
    <w:rsid w:val="006D5DF7"/>
    <w:rsid w:val="006D605F"/>
    <w:rsid w:val="006D792D"/>
    <w:rsid w:val="006E001B"/>
    <w:rsid w:val="006E022B"/>
    <w:rsid w:val="006E04BB"/>
    <w:rsid w:val="006E23C8"/>
    <w:rsid w:val="006E2C46"/>
    <w:rsid w:val="006E40B6"/>
    <w:rsid w:val="006E5024"/>
    <w:rsid w:val="006E54D9"/>
    <w:rsid w:val="006E5AF0"/>
    <w:rsid w:val="006E64E8"/>
    <w:rsid w:val="006E6FC8"/>
    <w:rsid w:val="006F091F"/>
    <w:rsid w:val="006F134C"/>
    <w:rsid w:val="006F163D"/>
    <w:rsid w:val="006F1D66"/>
    <w:rsid w:val="006F2C9E"/>
    <w:rsid w:val="006F3447"/>
    <w:rsid w:val="006F44CD"/>
    <w:rsid w:val="006F5593"/>
    <w:rsid w:val="006F5BC7"/>
    <w:rsid w:val="006F5FB6"/>
    <w:rsid w:val="006F687C"/>
    <w:rsid w:val="006F6BAD"/>
    <w:rsid w:val="00700860"/>
    <w:rsid w:val="00701CDF"/>
    <w:rsid w:val="00701CE4"/>
    <w:rsid w:val="00702008"/>
    <w:rsid w:val="007026A8"/>
    <w:rsid w:val="007026AF"/>
    <w:rsid w:val="0070299E"/>
    <w:rsid w:val="00702F9A"/>
    <w:rsid w:val="007031FE"/>
    <w:rsid w:val="0070345D"/>
    <w:rsid w:val="0070370A"/>
    <w:rsid w:val="00703B87"/>
    <w:rsid w:val="007046C7"/>
    <w:rsid w:val="00704964"/>
    <w:rsid w:val="00704BAA"/>
    <w:rsid w:val="007053E4"/>
    <w:rsid w:val="00705C02"/>
    <w:rsid w:val="00706960"/>
    <w:rsid w:val="00706C86"/>
    <w:rsid w:val="00706DFA"/>
    <w:rsid w:val="007078C0"/>
    <w:rsid w:val="00707A10"/>
    <w:rsid w:val="007110B2"/>
    <w:rsid w:val="00711DE3"/>
    <w:rsid w:val="00713082"/>
    <w:rsid w:val="0071328C"/>
    <w:rsid w:val="00714100"/>
    <w:rsid w:val="007142C4"/>
    <w:rsid w:val="00714A8D"/>
    <w:rsid w:val="007164FF"/>
    <w:rsid w:val="0071658A"/>
    <w:rsid w:val="007166F2"/>
    <w:rsid w:val="00716A98"/>
    <w:rsid w:val="00717212"/>
    <w:rsid w:val="007215DD"/>
    <w:rsid w:val="00722365"/>
    <w:rsid w:val="00722F31"/>
    <w:rsid w:val="00723904"/>
    <w:rsid w:val="00723E9F"/>
    <w:rsid w:val="00725C94"/>
    <w:rsid w:val="00726055"/>
    <w:rsid w:val="00727E60"/>
    <w:rsid w:val="00730CC5"/>
    <w:rsid w:val="007319CC"/>
    <w:rsid w:val="0073286C"/>
    <w:rsid w:val="007329BD"/>
    <w:rsid w:val="00733621"/>
    <w:rsid w:val="007340A6"/>
    <w:rsid w:val="007340D1"/>
    <w:rsid w:val="00734B1C"/>
    <w:rsid w:val="00735B5F"/>
    <w:rsid w:val="00735CF1"/>
    <w:rsid w:val="007362EB"/>
    <w:rsid w:val="00737559"/>
    <w:rsid w:val="00737AD9"/>
    <w:rsid w:val="00740A3B"/>
    <w:rsid w:val="00741198"/>
    <w:rsid w:val="00741641"/>
    <w:rsid w:val="0074297F"/>
    <w:rsid w:val="00742CD0"/>
    <w:rsid w:val="00742DD9"/>
    <w:rsid w:val="00742DE7"/>
    <w:rsid w:val="00743031"/>
    <w:rsid w:val="0074312B"/>
    <w:rsid w:val="007438EF"/>
    <w:rsid w:val="007439CF"/>
    <w:rsid w:val="00743F7D"/>
    <w:rsid w:val="00744781"/>
    <w:rsid w:val="00744A01"/>
    <w:rsid w:val="00744E1C"/>
    <w:rsid w:val="00745465"/>
    <w:rsid w:val="00745B4A"/>
    <w:rsid w:val="0074601F"/>
    <w:rsid w:val="00746829"/>
    <w:rsid w:val="00747295"/>
    <w:rsid w:val="00747C68"/>
    <w:rsid w:val="007512FE"/>
    <w:rsid w:val="007517F0"/>
    <w:rsid w:val="00752478"/>
    <w:rsid w:val="007532C4"/>
    <w:rsid w:val="00753C8C"/>
    <w:rsid w:val="00755BD9"/>
    <w:rsid w:val="00755DA5"/>
    <w:rsid w:val="00755DD4"/>
    <w:rsid w:val="00756272"/>
    <w:rsid w:val="007562D7"/>
    <w:rsid w:val="00756344"/>
    <w:rsid w:val="00757CD2"/>
    <w:rsid w:val="00757D57"/>
    <w:rsid w:val="00760370"/>
    <w:rsid w:val="0076137B"/>
    <w:rsid w:val="00761CFE"/>
    <w:rsid w:val="00762A8B"/>
    <w:rsid w:val="00762B63"/>
    <w:rsid w:val="00762DB4"/>
    <w:rsid w:val="00763C18"/>
    <w:rsid w:val="007648FB"/>
    <w:rsid w:val="00767BF0"/>
    <w:rsid w:val="00770612"/>
    <w:rsid w:val="00770B53"/>
    <w:rsid w:val="00770C7E"/>
    <w:rsid w:val="00771A2B"/>
    <w:rsid w:val="00774236"/>
    <w:rsid w:val="00774487"/>
    <w:rsid w:val="00774541"/>
    <w:rsid w:val="00774697"/>
    <w:rsid w:val="00774A3D"/>
    <w:rsid w:val="00774DD6"/>
    <w:rsid w:val="00775DE6"/>
    <w:rsid w:val="007763B4"/>
    <w:rsid w:val="007763B7"/>
    <w:rsid w:val="00777819"/>
    <w:rsid w:val="00777CC3"/>
    <w:rsid w:val="00780635"/>
    <w:rsid w:val="00781922"/>
    <w:rsid w:val="00781BCF"/>
    <w:rsid w:val="0078210A"/>
    <w:rsid w:val="007822E6"/>
    <w:rsid w:val="007826F9"/>
    <w:rsid w:val="00783022"/>
    <w:rsid w:val="007846BE"/>
    <w:rsid w:val="00784EF7"/>
    <w:rsid w:val="00787F3F"/>
    <w:rsid w:val="00790E8E"/>
    <w:rsid w:val="0079153A"/>
    <w:rsid w:val="00791A5A"/>
    <w:rsid w:val="00791F2D"/>
    <w:rsid w:val="00792A27"/>
    <w:rsid w:val="00792A98"/>
    <w:rsid w:val="00793489"/>
    <w:rsid w:val="0079386F"/>
    <w:rsid w:val="00793BE6"/>
    <w:rsid w:val="00793E4C"/>
    <w:rsid w:val="007950AC"/>
    <w:rsid w:val="007955AC"/>
    <w:rsid w:val="00795FC5"/>
    <w:rsid w:val="00796361"/>
    <w:rsid w:val="00796C62"/>
    <w:rsid w:val="0079782F"/>
    <w:rsid w:val="00797DE1"/>
    <w:rsid w:val="007A00D2"/>
    <w:rsid w:val="007A09BF"/>
    <w:rsid w:val="007A1F27"/>
    <w:rsid w:val="007A1FC9"/>
    <w:rsid w:val="007A2123"/>
    <w:rsid w:val="007A3ED6"/>
    <w:rsid w:val="007A516A"/>
    <w:rsid w:val="007A5C09"/>
    <w:rsid w:val="007A6310"/>
    <w:rsid w:val="007A729B"/>
    <w:rsid w:val="007B077E"/>
    <w:rsid w:val="007B09C9"/>
    <w:rsid w:val="007B1364"/>
    <w:rsid w:val="007B3964"/>
    <w:rsid w:val="007B3E00"/>
    <w:rsid w:val="007B4E02"/>
    <w:rsid w:val="007B5882"/>
    <w:rsid w:val="007B7867"/>
    <w:rsid w:val="007C0680"/>
    <w:rsid w:val="007C0D97"/>
    <w:rsid w:val="007C11A5"/>
    <w:rsid w:val="007C12D9"/>
    <w:rsid w:val="007C175B"/>
    <w:rsid w:val="007C23F8"/>
    <w:rsid w:val="007C3270"/>
    <w:rsid w:val="007C375E"/>
    <w:rsid w:val="007C4498"/>
    <w:rsid w:val="007C5BDE"/>
    <w:rsid w:val="007C79DE"/>
    <w:rsid w:val="007D0436"/>
    <w:rsid w:val="007D0A5A"/>
    <w:rsid w:val="007D0C4A"/>
    <w:rsid w:val="007D15B7"/>
    <w:rsid w:val="007D1D5F"/>
    <w:rsid w:val="007D2F61"/>
    <w:rsid w:val="007D3EB9"/>
    <w:rsid w:val="007D5A07"/>
    <w:rsid w:val="007D5E22"/>
    <w:rsid w:val="007D682C"/>
    <w:rsid w:val="007D735A"/>
    <w:rsid w:val="007D7942"/>
    <w:rsid w:val="007D7F66"/>
    <w:rsid w:val="007E0AE8"/>
    <w:rsid w:val="007E1012"/>
    <w:rsid w:val="007E145F"/>
    <w:rsid w:val="007E167E"/>
    <w:rsid w:val="007E1F2E"/>
    <w:rsid w:val="007E25F2"/>
    <w:rsid w:val="007E3ACE"/>
    <w:rsid w:val="007E3E8E"/>
    <w:rsid w:val="007E475F"/>
    <w:rsid w:val="007E58FA"/>
    <w:rsid w:val="007F1643"/>
    <w:rsid w:val="007F17D2"/>
    <w:rsid w:val="007F26E2"/>
    <w:rsid w:val="007F2E46"/>
    <w:rsid w:val="007F349A"/>
    <w:rsid w:val="007F379C"/>
    <w:rsid w:val="007F4F0E"/>
    <w:rsid w:val="007F5B30"/>
    <w:rsid w:val="007F5E61"/>
    <w:rsid w:val="007F6783"/>
    <w:rsid w:val="007F75CC"/>
    <w:rsid w:val="007F7B12"/>
    <w:rsid w:val="007F7B30"/>
    <w:rsid w:val="008006FE"/>
    <w:rsid w:val="00800A5E"/>
    <w:rsid w:val="008012E0"/>
    <w:rsid w:val="00801568"/>
    <w:rsid w:val="00802458"/>
    <w:rsid w:val="008033BF"/>
    <w:rsid w:val="00803F3D"/>
    <w:rsid w:val="00803FAA"/>
    <w:rsid w:val="0080424A"/>
    <w:rsid w:val="008042D6"/>
    <w:rsid w:val="00804ECB"/>
    <w:rsid w:val="00805902"/>
    <w:rsid w:val="008059EC"/>
    <w:rsid w:val="00806022"/>
    <w:rsid w:val="00806543"/>
    <w:rsid w:val="00806C34"/>
    <w:rsid w:val="0080707D"/>
    <w:rsid w:val="0081086B"/>
    <w:rsid w:val="00811BE0"/>
    <w:rsid w:val="0081252A"/>
    <w:rsid w:val="00812C6C"/>
    <w:rsid w:val="00814212"/>
    <w:rsid w:val="008152CD"/>
    <w:rsid w:val="008152DC"/>
    <w:rsid w:val="00816814"/>
    <w:rsid w:val="00816AAD"/>
    <w:rsid w:val="0081719C"/>
    <w:rsid w:val="0082002A"/>
    <w:rsid w:val="00820807"/>
    <w:rsid w:val="00820A72"/>
    <w:rsid w:val="00820F69"/>
    <w:rsid w:val="00821E33"/>
    <w:rsid w:val="00822563"/>
    <w:rsid w:val="00822612"/>
    <w:rsid w:val="008227BB"/>
    <w:rsid w:val="00824567"/>
    <w:rsid w:val="00824AB5"/>
    <w:rsid w:val="00824DCB"/>
    <w:rsid w:val="00825239"/>
    <w:rsid w:val="00825C05"/>
    <w:rsid w:val="00825EF5"/>
    <w:rsid w:val="008268E8"/>
    <w:rsid w:val="00826A5A"/>
    <w:rsid w:val="00826B5C"/>
    <w:rsid w:val="00826F73"/>
    <w:rsid w:val="00830590"/>
    <w:rsid w:val="00830FC9"/>
    <w:rsid w:val="00831E8A"/>
    <w:rsid w:val="008325BF"/>
    <w:rsid w:val="00833DDB"/>
    <w:rsid w:val="008343FB"/>
    <w:rsid w:val="0083444F"/>
    <w:rsid w:val="0083505C"/>
    <w:rsid w:val="00835600"/>
    <w:rsid w:val="00835AA2"/>
    <w:rsid w:val="008367A4"/>
    <w:rsid w:val="00837272"/>
    <w:rsid w:val="00840A37"/>
    <w:rsid w:val="008419FC"/>
    <w:rsid w:val="0084203B"/>
    <w:rsid w:val="00842608"/>
    <w:rsid w:val="00843039"/>
    <w:rsid w:val="0084377C"/>
    <w:rsid w:val="008437B9"/>
    <w:rsid w:val="00843DD3"/>
    <w:rsid w:val="00844712"/>
    <w:rsid w:val="0084483E"/>
    <w:rsid w:val="00844DF1"/>
    <w:rsid w:val="00844EFB"/>
    <w:rsid w:val="008450A8"/>
    <w:rsid w:val="008451AA"/>
    <w:rsid w:val="00845546"/>
    <w:rsid w:val="0084613B"/>
    <w:rsid w:val="008472A2"/>
    <w:rsid w:val="00847356"/>
    <w:rsid w:val="00851F17"/>
    <w:rsid w:val="00852150"/>
    <w:rsid w:val="0085363F"/>
    <w:rsid w:val="00853699"/>
    <w:rsid w:val="00854F57"/>
    <w:rsid w:val="00855138"/>
    <w:rsid w:val="00855E0B"/>
    <w:rsid w:val="00855F86"/>
    <w:rsid w:val="00855FEA"/>
    <w:rsid w:val="0085626D"/>
    <w:rsid w:val="00856EC1"/>
    <w:rsid w:val="008570C1"/>
    <w:rsid w:val="008577DD"/>
    <w:rsid w:val="00857A19"/>
    <w:rsid w:val="00857E17"/>
    <w:rsid w:val="008608D3"/>
    <w:rsid w:val="00861DC4"/>
    <w:rsid w:val="008623A0"/>
    <w:rsid w:val="008627B5"/>
    <w:rsid w:val="00863A14"/>
    <w:rsid w:val="00863B83"/>
    <w:rsid w:val="00864510"/>
    <w:rsid w:val="00864B9D"/>
    <w:rsid w:val="0086617C"/>
    <w:rsid w:val="00866907"/>
    <w:rsid w:val="00866CE1"/>
    <w:rsid w:val="0086702B"/>
    <w:rsid w:val="00867428"/>
    <w:rsid w:val="00867977"/>
    <w:rsid w:val="008701C7"/>
    <w:rsid w:val="00872036"/>
    <w:rsid w:val="00873BA1"/>
    <w:rsid w:val="00873ED9"/>
    <w:rsid w:val="00874B71"/>
    <w:rsid w:val="00874DC2"/>
    <w:rsid w:val="008759A4"/>
    <w:rsid w:val="00875A03"/>
    <w:rsid w:val="00875C12"/>
    <w:rsid w:val="00875D97"/>
    <w:rsid w:val="00876B7F"/>
    <w:rsid w:val="008772E4"/>
    <w:rsid w:val="00877738"/>
    <w:rsid w:val="008777E1"/>
    <w:rsid w:val="008778EA"/>
    <w:rsid w:val="00880C74"/>
    <w:rsid w:val="00880E83"/>
    <w:rsid w:val="00880F67"/>
    <w:rsid w:val="008815FD"/>
    <w:rsid w:val="0088201C"/>
    <w:rsid w:val="00882E68"/>
    <w:rsid w:val="00882EC5"/>
    <w:rsid w:val="00883B5F"/>
    <w:rsid w:val="00883CF5"/>
    <w:rsid w:val="00884490"/>
    <w:rsid w:val="008844EB"/>
    <w:rsid w:val="0088495B"/>
    <w:rsid w:val="008849B1"/>
    <w:rsid w:val="00884D3B"/>
    <w:rsid w:val="00885C00"/>
    <w:rsid w:val="00885D36"/>
    <w:rsid w:val="008861EF"/>
    <w:rsid w:val="0088629F"/>
    <w:rsid w:val="0088641B"/>
    <w:rsid w:val="00886457"/>
    <w:rsid w:val="00887A43"/>
    <w:rsid w:val="00887C59"/>
    <w:rsid w:val="0089096E"/>
    <w:rsid w:val="00890ABE"/>
    <w:rsid w:val="00891269"/>
    <w:rsid w:val="0089295D"/>
    <w:rsid w:val="00893E08"/>
    <w:rsid w:val="00893FDC"/>
    <w:rsid w:val="0089491F"/>
    <w:rsid w:val="00894C38"/>
    <w:rsid w:val="00894F01"/>
    <w:rsid w:val="00895F7C"/>
    <w:rsid w:val="00896518"/>
    <w:rsid w:val="00896A6B"/>
    <w:rsid w:val="008A0701"/>
    <w:rsid w:val="008A17DF"/>
    <w:rsid w:val="008A1D86"/>
    <w:rsid w:val="008A2D6E"/>
    <w:rsid w:val="008A2EC4"/>
    <w:rsid w:val="008A2F80"/>
    <w:rsid w:val="008A3E02"/>
    <w:rsid w:val="008A4047"/>
    <w:rsid w:val="008A47AA"/>
    <w:rsid w:val="008A4E3B"/>
    <w:rsid w:val="008A549E"/>
    <w:rsid w:val="008A6612"/>
    <w:rsid w:val="008A6DE2"/>
    <w:rsid w:val="008A73A9"/>
    <w:rsid w:val="008A73B8"/>
    <w:rsid w:val="008A7C10"/>
    <w:rsid w:val="008B0761"/>
    <w:rsid w:val="008B1115"/>
    <w:rsid w:val="008B1DFA"/>
    <w:rsid w:val="008B209E"/>
    <w:rsid w:val="008B2889"/>
    <w:rsid w:val="008B2BE5"/>
    <w:rsid w:val="008B2F27"/>
    <w:rsid w:val="008B33D1"/>
    <w:rsid w:val="008B343D"/>
    <w:rsid w:val="008B34EB"/>
    <w:rsid w:val="008B5507"/>
    <w:rsid w:val="008B5AC2"/>
    <w:rsid w:val="008B5BB3"/>
    <w:rsid w:val="008B6FA7"/>
    <w:rsid w:val="008C0D65"/>
    <w:rsid w:val="008C102F"/>
    <w:rsid w:val="008C3416"/>
    <w:rsid w:val="008C3C3A"/>
    <w:rsid w:val="008C3F1A"/>
    <w:rsid w:val="008C453A"/>
    <w:rsid w:val="008C4CB9"/>
    <w:rsid w:val="008C4D8D"/>
    <w:rsid w:val="008C4E1F"/>
    <w:rsid w:val="008C593C"/>
    <w:rsid w:val="008C6AB9"/>
    <w:rsid w:val="008D18C2"/>
    <w:rsid w:val="008D19D6"/>
    <w:rsid w:val="008D1B8B"/>
    <w:rsid w:val="008D2674"/>
    <w:rsid w:val="008D31DB"/>
    <w:rsid w:val="008D348E"/>
    <w:rsid w:val="008D356D"/>
    <w:rsid w:val="008D3BFB"/>
    <w:rsid w:val="008D3C20"/>
    <w:rsid w:val="008D49FA"/>
    <w:rsid w:val="008D4C7D"/>
    <w:rsid w:val="008D4E50"/>
    <w:rsid w:val="008D6582"/>
    <w:rsid w:val="008D73FB"/>
    <w:rsid w:val="008D7AAC"/>
    <w:rsid w:val="008D7AD2"/>
    <w:rsid w:val="008E0D70"/>
    <w:rsid w:val="008E133D"/>
    <w:rsid w:val="008E184D"/>
    <w:rsid w:val="008E1B27"/>
    <w:rsid w:val="008E21C2"/>
    <w:rsid w:val="008E2DCE"/>
    <w:rsid w:val="008E5288"/>
    <w:rsid w:val="008E5A04"/>
    <w:rsid w:val="008E7C8A"/>
    <w:rsid w:val="008F001E"/>
    <w:rsid w:val="008F055E"/>
    <w:rsid w:val="008F08CB"/>
    <w:rsid w:val="008F1688"/>
    <w:rsid w:val="008F16D9"/>
    <w:rsid w:val="008F17F5"/>
    <w:rsid w:val="008F1BF3"/>
    <w:rsid w:val="008F1DF7"/>
    <w:rsid w:val="008F2193"/>
    <w:rsid w:val="008F25A0"/>
    <w:rsid w:val="008F25C8"/>
    <w:rsid w:val="008F3315"/>
    <w:rsid w:val="008F3FE0"/>
    <w:rsid w:val="008F4332"/>
    <w:rsid w:val="008F52FA"/>
    <w:rsid w:val="008F7274"/>
    <w:rsid w:val="009003EA"/>
    <w:rsid w:val="009008FC"/>
    <w:rsid w:val="00900E71"/>
    <w:rsid w:val="00902C40"/>
    <w:rsid w:val="00903173"/>
    <w:rsid w:val="00903FC5"/>
    <w:rsid w:val="00904CE7"/>
    <w:rsid w:val="00904E40"/>
    <w:rsid w:val="00905679"/>
    <w:rsid w:val="00906558"/>
    <w:rsid w:val="00906E57"/>
    <w:rsid w:val="00907015"/>
    <w:rsid w:val="009070FE"/>
    <w:rsid w:val="009076E2"/>
    <w:rsid w:val="009111E0"/>
    <w:rsid w:val="00911AB0"/>
    <w:rsid w:val="00911C87"/>
    <w:rsid w:val="009127C8"/>
    <w:rsid w:val="00912F51"/>
    <w:rsid w:val="00914C60"/>
    <w:rsid w:val="00916164"/>
    <w:rsid w:val="00916710"/>
    <w:rsid w:val="009172E3"/>
    <w:rsid w:val="0091739B"/>
    <w:rsid w:val="00917D76"/>
    <w:rsid w:val="00917F15"/>
    <w:rsid w:val="009203F0"/>
    <w:rsid w:val="00922A94"/>
    <w:rsid w:val="00923095"/>
    <w:rsid w:val="00923374"/>
    <w:rsid w:val="00923867"/>
    <w:rsid w:val="00923887"/>
    <w:rsid w:val="00924B49"/>
    <w:rsid w:val="009255DC"/>
    <w:rsid w:val="009259EB"/>
    <w:rsid w:val="009266E7"/>
    <w:rsid w:val="00926BA0"/>
    <w:rsid w:val="00927093"/>
    <w:rsid w:val="00927E3D"/>
    <w:rsid w:val="00931504"/>
    <w:rsid w:val="00931C61"/>
    <w:rsid w:val="00932526"/>
    <w:rsid w:val="00932654"/>
    <w:rsid w:val="0093318D"/>
    <w:rsid w:val="00934C64"/>
    <w:rsid w:val="00934CF7"/>
    <w:rsid w:val="009370BA"/>
    <w:rsid w:val="00937987"/>
    <w:rsid w:val="00937BA2"/>
    <w:rsid w:val="00940DAA"/>
    <w:rsid w:val="009414B4"/>
    <w:rsid w:val="009418E6"/>
    <w:rsid w:val="00941D54"/>
    <w:rsid w:val="00942648"/>
    <w:rsid w:val="009434A6"/>
    <w:rsid w:val="009437E0"/>
    <w:rsid w:val="00943D39"/>
    <w:rsid w:val="009459F8"/>
    <w:rsid w:val="00946804"/>
    <w:rsid w:val="009468A4"/>
    <w:rsid w:val="009471C6"/>
    <w:rsid w:val="00947706"/>
    <w:rsid w:val="00950425"/>
    <w:rsid w:val="009508A4"/>
    <w:rsid w:val="00951655"/>
    <w:rsid w:val="00952704"/>
    <w:rsid w:val="00952811"/>
    <w:rsid w:val="00953BC8"/>
    <w:rsid w:val="00955391"/>
    <w:rsid w:val="0095587B"/>
    <w:rsid w:val="0095651D"/>
    <w:rsid w:val="00956D31"/>
    <w:rsid w:val="00957F44"/>
    <w:rsid w:val="009604AB"/>
    <w:rsid w:val="0096135F"/>
    <w:rsid w:val="00961E3A"/>
    <w:rsid w:val="0096244C"/>
    <w:rsid w:val="009637DB"/>
    <w:rsid w:val="00964AB5"/>
    <w:rsid w:val="00964E66"/>
    <w:rsid w:val="00964F61"/>
    <w:rsid w:val="009652EA"/>
    <w:rsid w:val="00965D2B"/>
    <w:rsid w:val="00966511"/>
    <w:rsid w:val="00966FC4"/>
    <w:rsid w:val="0096727E"/>
    <w:rsid w:val="009673E7"/>
    <w:rsid w:val="0097045A"/>
    <w:rsid w:val="00971150"/>
    <w:rsid w:val="009716C7"/>
    <w:rsid w:val="00972072"/>
    <w:rsid w:val="0097212A"/>
    <w:rsid w:val="00973053"/>
    <w:rsid w:val="00973640"/>
    <w:rsid w:val="00973821"/>
    <w:rsid w:val="00973871"/>
    <w:rsid w:val="00974E49"/>
    <w:rsid w:val="00974F3E"/>
    <w:rsid w:val="00975396"/>
    <w:rsid w:val="0097549F"/>
    <w:rsid w:val="00976281"/>
    <w:rsid w:val="009769FE"/>
    <w:rsid w:val="00976D0D"/>
    <w:rsid w:val="0097753A"/>
    <w:rsid w:val="00977545"/>
    <w:rsid w:val="009777DE"/>
    <w:rsid w:val="00977EC8"/>
    <w:rsid w:val="0098098F"/>
    <w:rsid w:val="00980B81"/>
    <w:rsid w:val="00980EA4"/>
    <w:rsid w:val="00982208"/>
    <w:rsid w:val="009841BE"/>
    <w:rsid w:val="0098467A"/>
    <w:rsid w:val="00985E9F"/>
    <w:rsid w:val="00986146"/>
    <w:rsid w:val="0098629F"/>
    <w:rsid w:val="00986FD1"/>
    <w:rsid w:val="00987DF1"/>
    <w:rsid w:val="00991595"/>
    <w:rsid w:val="00991668"/>
    <w:rsid w:val="009927C0"/>
    <w:rsid w:val="00992B4F"/>
    <w:rsid w:val="00993582"/>
    <w:rsid w:val="00994196"/>
    <w:rsid w:val="00995B23"/>
    <w:rsid w:val="00996781"/>
    <w:rsid w:val="009971F7"/>
    <w:rsid w:val="009A093E"/>
    <w:rsid w:val="009A0F93"/>
    <w:rsid w:val="009A143B"/>
    <w:rsid w:val="009A14AD"/>
    <w:rsid w:val="009A15FF"/>
    <w:rsid w:val="009A2866"/>
    <w:rsid w:val="009A3761"/>
    <w:rsid w:val="009A420E"/>
    <w:rsid w:val="009A544E"/>
    <w:rsid w:val="009A5689"/>
    <w:rsid w:val="009A66C7"/>
    <w:rsid w:val="009A750B"/>
    <w:rsid w:val="009B077E"/>
    <w:rsid w:val="009B07A7"/>
    <w:rsid w:val="009B3AF9"/>
    <w:rsid w:val="009B4098"/>
    <w:rsid w:val="009B409C"/>
    <w:rsid w:val="009B4AAF"/>
    <w:rsid w:val="009B4E09"/>
    <w:rsid w:val="009B6075"/>
    <w:rsid w:val="009B634F"/>
    <w:rsid w:val="009B6D28"/>
    <w:rsid w:val="009B7F7F"/>
    <w:rsid w:val="009C0143"/>
    <w:rsid w:val="009C041E"/>
    <w:rsid w:val="009C0B25"/>
    <w:rsid w:val="009C1133"/>
    <w:rsid w:val="009C1B98"/>
    <w:rsid w:val="009C1DFA"/>
    <w:rsid w:val="009C285A"/>
    <w:rsid w:val="009C2E2E"/>
    <w:rsid w:val="009C2E43"/>
    <w:rsid w:val="009C3357"/>
    <w:rsid w:val="009C401A"/>
    <w:rsid w:val="009C5A0A"/>
    <w:rsid w:val="009C623B"/>
    <w:rsid w:val="009C6501"/>
    <w:rsid w:val="009C6CE3"/>
    <w:rsid w:val="009C6F70"/>
    <w:rsid w:val="009C797A"/>
    <w:rsid w:val="009C7A47"/>
    <w:rsid w:val="009C7A5E"/>
    <w:rsid w:val="009D0886"/>
    <w:rsid w:val="009D0AB4"/>
    <w:rsid w:val="009D0BAB"/>
    <w:rsid w:val="009D0CD5"/>
    <w:rsid w:val="009D1CF0"/>
    <w:rsid w:val="009D1D93"/>
    <w:rsid w:val="009D20BC"/>
    <w:rsid w:val="009D2D5E"/>
    <w:rsid w:val="009D3834"/>
    <w:rsid w:val="009D49DC"/>
    <w:rsid w:val="009D5065"/>
    <w:rsid w:val="009D6235"/>
    <w:rsid w:val="009D6731"/>
    <w:rsid w:val="009D7ECA"/>
    <w:rsid w:val="009E1595"/>
    <w:rsid w:val="009E1A9F"/>
    <w:rsid w:val="009E5AA7"/>
    <w:rsid w:val="009E5AF8"/>
    <w:rsid w:val="009E5D75"/>
    <w:rsid w:val="009E61D0"/>
    <w:rsid w:val="009E6817"/>
    <w:rsid w:val="009E69F7"/>
    <w:rsid w:val="009E6C53"/>
    <w:rsid w:val="009E712C"/>
    <w:rsid w:val="009E72B4"/>
    <w:rsid w:val="009E736B"/>
    <w:rsid w:val="009E798E"/>
    <w:rsid w:val="009E7D05"/>
    <w:rsid w:val="009E7D0F"/>
    <w:rsid w:val="009F007B"/>
    <w:rsid w:val="009F0294"/>
    <w:rsid w:val="009F066C"/>
    <w:rsid w:val="009F0C8D"/>
    <w:rsid w:val="009F0DAA"/>
    <w:rsid w:val="009F24DF"/>
    <w:rsid w:val="009F2864"/>
    <w:rsid w:val="009F38D4"/>
    <w:rsid w:val="009F49F8"/>
    <w:rsid w:val="009F4D75"/>
    <w:rsid w:val="009F54CE"/>
    <w:rsid w:val="009F5E35"/>
    <w:rsid w:val="009F6DB2"/>
    <w:rsid w:val="009F7404"/>
    <w:rsid w:val="009F7D50"/>
    <w:rsid w:val="00A00437"/>
    <w:rsid w:val="00A004CB"/>
    <w:rsid w:val="00A0074B"/>
    <w:rsid w:val="00A0080C"/>
    <w:rsid w:val="00A03688"/>
    <w:rsid w:val="00A03DB3"/>
    <w:rsid w:val="00A04508"/>
    <w:rsid w:val="00A04D91"/>
    <w:rsid w:val="00A05FCC"/>
    <w:rsid w:val="00A060F2"/>
    <w:rsid w:val="00A06AFC"/>
    <w:rsid w:val="00A074C1"/>
    <w:rsid w:val="00A07D0A"/>
    <w:rsid w:val="00A11BEF"/>
    <w:rsid w:val="00A11E86"/>
    <w:rsid w:val="00A11F9E"/>
    <w:rsid w:val="00A11FDE"/>
    <w:rsid w:val="00A12245"/>
    <w:rsid w:val="00A124C6"/>
    <w:rsid w:val="00A12AEA"/>
    <w:rsid w:val="00A12EA3"/>
    <w:rsid w:val="00A12EEC"/>
    <w:rsid w:val="00A140D7"/>
    <w:rsid w:val="00A1527C"/>
    <w:rsid w:val="00A15564"/>
    <w:rsid w:val="00A155C8"/>
    <w:rsid w:val="00A17097"/>
    <w:rsid w:val="00A170A5"/>
    <w:rsid w:val="00A17842"/>
    <w:rsid w:val="00A17A54"/>
    <w:rsid w:val="00A17F95"/>
    <w:rsid w:val="00A205D9"/>
    <w:rsid w:val="00A21C63"/>
    <w:rsid w:val="00A229B6"/>
    <w:rsid w:val="00A23181"/>
    <w:rsid w:val="00A2360A"/>
    <w:rsid w:val="00A240AB"/>
    <w:rsid w:val="00A2451A"/>
    <w:rsid w:val="00A24828"/>
    <w:rsid w:val="00A24F6F"/>
    <w:rsid w:val="00A251EC"/>
    <w:rsid w:val="00A25A84"/>
    <w:rsid w:val="00A26923"/>
    <w:rsid w:val="00A26C71"/>
    <w:rsid w:val="00A27079"/>
    <w:rsid w:val="00A274C1"/>
    <w:rsid w:val="00A27E23"/>
    <w:rsid w:val="00A30621"/>
    <w:rsid w:val="00A30969"/>
    <w:rsid w:val="00A309FC"/>
    <w:rsid w:val="00A32279"/>
    <w:rsid w:val="00A322B3"/>
    <w:rsid w:val="00A32322"/>
    <w:rsid w:val="00A32AB6"/>
    <w:rsid w:val="00A33394"/>
    <w:rsid w:val="00A336D7"/>
    <w:rsid w:val="00A33F62"/>
    <w:rsid w:val="00A35BBE"/>
    <w:rsid w:val="00A35CA4"/>
    <w:rsid w:val="00A364D5"/>
    <w:rsid w:val="00A36BCF"/>
    <w:rsid w:val="00A37082"/>
    <w:rsid w:val="00A370B4"/>
    <w:rsid w:val="00A37222"/>
    <w:rsid w:val="00A37919"/>
    <w:rsid w:val="00A40048"/>
    <w:rsid w:val="00A40904"/>
    <w:rsid w:val="00A41850"/>
    <w:rsid w:val="00A41DA0"/>
    <w:rsid w:val="00A428FA"/>
    <w:rsid w:val="00A42C09"/>
    <w:rsid w:val="00A43283"/>
    <w:rsid w:val="00A43991"/>
    <w:rsid w:val="00A43B68"/>
    <w:rsid w:val="00A43CE4"/>
    <w:rsid w:val="00A46484"/>
    <w:rsid w:val="00A501C0"/>
    <w:rsid w:val="00A516CF"/>
    <w:rsid w:val="00A519B8"/>
    <w:rsid w:val="00A5215A"/>
    <w:rsid w:val="00A5234B"/>
    <w:rsid w:val="00A52500"/>
    <w:rsid w:val="00A52E59"/>
    <w:rsid w:val="00A54751"/>
    <w:rsid w:val="00A548D3"/>
    <w:rsid w:val="00A54AEF"/>
    <w:rsid w:val="00A55961"/>
    <w:rsid w:val="00A56027"/>
    <w:rsid w:val="00A56CA7"/>
    <w:rsid w:val="00A57990"/>
    <w:rsid w:val="00A610FF"/>
    <w:rsid w:val="00A6132F"/>
    <w:rsid w:val="00A61D7C"/>
    <w:rsid w:val="00A62FEE"/>
    <w:rsid w:val="00A63334"/>
    <w:rsid w:val="00A6481B"/>
    <w:rsid w:val="00A64921"/>
    <w:rsid w:val="00A65898"/>
    <w:rsid w:val="00A65A2B"/>
    <w:rsid w:val="00A66D3A"/>
    <w:rsid w:val="00A678EB"/>
    <w:rsid w:val="00A67B03"/>
    <w:rsid w:val="00A67B95"/>
    <w:rsid w:val="00A703F0"/>
    <w:rsid w:val="00A71914"/>
    <w:rsid w:val="00A71A01"/>
    <w:rsid w:val="00A71E8C"/>
    <w:rsid w:val="00A725A6"/>
    <w:rsid w:val="00A72D2B"/>
    <w:rsid w:val="00A72E1C"/>
    <w:rsid w:val="00A72FAC"/>
    <w:rsid w:val="00A7358A"/>
    <w:rsid w:val="00A748CE"/>
    <w:rsid w:val="00A74B72"/>
    <w:rsid w:val="00A74D0E"/>
    <w:rsid w:val="00A7640C"/>
    <w:rsid w:val="00A76C58"/>
    <w:rsid w:val="00A779F6"/>
    <w:rsid w:val="00A83138"/>
    <w:rsid w:val="00A831B6"/>
    <w:rsid w:val="00A83720"/>
    <w:rsid w:val="00A84E04"/>
    <w:rsid w:val="00A86670"/>
    <w:rsid w:val="00A86A11"/>
    <w:rsid w:val="00A86C90"/>
    <w:rsid w:val="00A86DD7"/>
    <w:rsid w:val="00A8723A"/>
    <w:rsid w:val="00A8744E"/>
    <w:rsid w:val="00A87579"/>
    <w:rsid w:val="00A90398"/>
    <w:rsid w:val="00A93997"/>
    <w:rsid w:val="00A93F8E"/>
    <w:rsid w:val="00A94206"/>
    <w:rsid w:val="00A942BD"/>
    <w:rsid w:val="00A96BC7"/>
    <w:rsid w:val="00A972C4"/>
    <w:rsid w:val="00A978AA"/>
    <w:rsid w:val="00A979E2"/>
    <w:rsid w:val="00AA02A3"/>
    <w:rsid w:val="00AA20D1"/>
    <w:rsid w:val="00AA21B0"/>
    <w:rsid w:val="00AA2592"/>
    <w:rsid w:val="00AA25C2"/>
    <w:rsid w:val="00AA35F7"/>
    <w:rsid w:val="00AA46C3"/>
    <w:rsid w:val="00AA573A"/>
    <w:rsid w:val="00AA5C55"/>
    <w:rsid w:val="00AA610D"/>
    <w:rsid w:val="00AA6110"/>
    <w:rsid w:val="00AA7382"/>
    <w:rsid w:val="00AA7825"/>
    <w:rsid w:val="00AB037F"/>
    <w:rsid w:val="00AB20D4"/>
    <w:rsid w:val="00AB3F80"/>
    <w:rsid w:val="00AB4068"/>
    <w:rsid w:val="00AB44E4"/>
    <w:rsid w:val="00AB45A3"/>
    <w:rsid w:val="00AB4BB5"/>
    <w:rsid w:val="00AB4D49"/>
    <w:rsid w:val="00AB6700"/>
    <w:rsid w:val="00AB6A28"/>
    <w:rsid w:val="00AB6B7D"/>
    <w:rsid w:val="00AC0BAA"/>
    <w:rsid w:val="00AC0D78"/>
    <w:rsid w:val="00AC362B"/>
    <w:rsid w:val="00AC42CC"/>
    <w:rsid w:val="00AC5FC9"/>
    <w:rsid w:val="00AC6204"/>
    <w:rsid w:val="00AC651E"/>
    <w:rsid w:val="00AC6709"/>
    <w:rsid w:val="00AC6DAA"/>
    <w:rsid w:val="00AC6E2E"/>
    <w:rsid w:val="00AC7191"/>
    <w:rsid w:val="00AC7944"/>
    <w:rsid w:val="00AD0098"/>
    <w:rsid w:val="00AD0510"/>
    <w:rsid w:val="00AD0E0E"/>
    <w:rsid w:val="00AD1558"/>
    <w:rsid w:val="00AD19E7"/>
    <w:rsid w:val="00AD20C2"/>
    <w:rsid w:val="00AD22B7"/>
    <w:rsid w:val="00AD2833"/>
    <w:rsid w:val="00AD3710"/>
    <w:rsid w:val="00AD3C38"/>
    <w:rsid w:val="00AD4494"/>
    <w:rsid w:val="00AD4BBD"/>
    <w:rsid w:val="00AD505D"/>
    <w:rsid w:val="00AD6591"/>
    <w:rsid w:val="00AD6698"/>
    <w:rsid w:val="00AD66F1"/>
    <w:rsid w:val="00AD6D35"/>
    <w:rsid w:val="00AD7E8C"/>
    <w:rsid w:val="00AE01CA"/>
    <w:rsid w:val="00AE0A3C"/>
    <w:rsid w:val="00AE0F27"/>
    <w:rsid w:val="00AE10C8"/>
    <w:rsid w:val="00AE1749"/>
    <w:rsid w:val="00AE1752"/>
    <w:rsid w:val="00AE183C"/>
    <w:rsid w:val="00AE1DF0"/>
    <w:rsid w:val="00AE271E"/>
    <w:rsid w:val="00AE2BF8"/>
    <w:rsid w:val="00AE33FE"/>
    <w:rsid w:val="00AE4B0F"/>
    <w:rsid w:val="00AE5AED"/>
    <w:rsid w:val="00AE5B38"/>
    <w:rsid w:val="00AE6572"/>
    <w:rsid w:val="00AE7BDB"/>
    <w:rsid w:val="00AF0748"/>
    <w:rsid w:val="00AF1EA8"/>
    <w:rsid w:val="00AF4059"/>
    <w:rsid w:val="00AF429A"/>
    <w:rsid w:val="00AF455A"/>
    <w:rsid w:val="00AF7B3A"/>
    <w:rsid w:val="00AF7FED"/>
    <w:rsid w:val="00B00FDD"/>
    <w:rsid w:val="00B02360"/>
    <w:rsid w:val="00B03A4E"/>
    <w:rsid w:val="00B04F06"/>
    <w:rsid w:val="00B05D3C"/>
    <w:rsid w:val="00B05D42"/>
    <w:rsid w:val="00B0606B"/>
    <w:rsid w:val="00B0762D"/>
    <w:rsid w:val="00B07BCB"/>
    <w:rsid w:val="00B13084"/>
    <w:rsid w:val="00B13728"/>
    <w:rsid w:val="00B138E1"/>
    <w:rsid w:val="00B14A85"/>
    <w:rsid w:val="00B14BE3"/>
    <w:rsid w:val="00B16C65"/>
    <w:rsid w:val="00B171A4"/>
    <w:rsid w:val="00B17A97"/>
    <w:rsid w:val="00B21911"/>
    <w:rsid w:val="00B21A16"/>
    <w:rsid w:val="00B222A5"/>
    <w:rsid w:val="00B22A24"/>
    <w:rsid w:val="00B22F4C"/>
    <w:rsid w:val="00B235B5"/>
    <w:rsid w:val="00B23FC1"/>
    <w:rsid w:val="00B243B0"/>
    <w:rsid w:val="00B24473"/>
    <w:rsid w:val="00B24658"/>
    <w:rsid w:val="00B25884"/>
    <w:rsid w:val="00B2616D"/>
    <w:rsid w:val="00B262E9"/>
    <w:rsid w:val="00B26BB6"/>
    <w:rsid w:val="00B30B8D"/>
    <w:rsid w:val="00B30E3C"/>
    <w:rsid w:val="00B313CA"/>
    <w:rsid w:val="00B31574"/>
    <w:rsid w:val="00B31AE2"/>
    <w:rsid w:val="00B31F47"/>
    <w:rsid w:val="00B3211C"/>
    <w:rsid w:val="00B323C3"/>
    <w:rsid w:val="00B32857"/>
    <w:rsid w:val="00B328D3"/>
    <w:rsid w:val="00B3319B"/>
    <w:rsid w:val="00B333CE"/>
    <w:rsid w:val="00B34B5A"/>
    <w:rsid w:val="00B35BB3"/>
    <w:rsid w:val="00B3614D"/>
    <w:rsid w:val="00B363DA"/>
    <w:rsid w:val="00B36DBA"/>
    <w:rsid w:val="00B36EB3"/>
    <w:rsid w:val="00B379DF"/>
    <w:rsid w:val="00B37E3A"/>
    <w:rsid w:val="00B37FA7"/>
    <w:rsid w:val="00B41E02"/>
    <w:rsid w:val="00B41EE9"/>
    <w:rsid w:val="00B42905"/>
    <w:rsid w:val="00B42D0C"/>
    <w:rsid w:val="00B43AF6"/>
    <w:rsid w:val="00B43D1E"/>
    <w:rsid w:val="00B446F7"/>
    <w:rsid w:val="00B4555D"/>
    <w:rsid w:val="00B46B62"/>
    <w:rsid w:val="00B46F2F"/>
    <w:rsid w:val="00B471E3"/>
    <w:rsid w:val="00B518B8"/>
    <w:rsid w:val="00B51D19"/>
    <w:rsid w:val="00B53E53"/>
    <w:rsid w:val="00B55DED"/>
    <w:rsid w:val="00B55E20"/>
    <w:rsid w:val="00B569FE"/>
    <w:rsid w:val="00B57D98"/>
    <w:rsid w:val="00B57FB5"/>
    <w:rsid w:val="00B617D5"/>
    <w:rsid w:val="00B61C58"/>
    <w:rsid w:val="00B61D65"/>
    <w:rsid w:val="00B6256F"/>
    <w:rsid w:val="00B62D40"/>
    <w:rsid w:val="00B6490A"/>
    <w:rsid w:val="00B64A47"/>
    <w:rsid w:val="00B652DC"/>
    <w:rsid w:val="00B65807"/>
    <w:rsid w:val="00B65C6A"/>
    <w:rsid w:val="00B66138"/>
    <w:rsid w:val="00B6625D"/>
    <w:rsid w:val="00B662B6"/>
    <w:rsid w:val="00B66923"/>
    <w:rsid w:val="00B70A69"/>
    <w:rsid w:val="00B71447"/>
    <w:rsid w:val="00B73613"/>
    <w:rsid w:val="00B7445D"/>
    <w:rsid w:val="00B7502D"/>
    <w:rsid w:val="00B750F8"/>
    <w:rsid w:val="00B76CF7"/>
    <w:rsid w:val="00B807FA"/>
    <w:rsid w:val="00B80F4A"/>
    <w:rsid w:val="00B81B0E"/>
    <w:rsid w:val="00B81C0B"/>
    <w:rsid w:val="00B81F7A"/>
    <w:rsid w:val="00B825DF"/>
    <w:rsid w:val="00B82ECF"/>
    <w:rsid w:val="00B83234"/>
    <w:rsid w:val="00B832AB"/>
    <w:rsid w:val="00B83BA2"/>
    <w:rsid w:val="00B83D59"/>
    <w:rsid w:val="00B84366"/>
    <w:rsid w:val="00B84474"/>
    <w:rsid w:val="00B84C87"/>
    <w:rsid w:val="00B8509C"/>
    <w:rsid w:val="00B85E2F"/>
    <w:rsid w:val="00B87ECC"/>
    <w:rsid w:val="00B90B4A"/>
    <w:rsid w:val="00B91127"/>
    <w:rsid w:val="00B927FC"/>
    <w:rsid w:val="00B93535"/>
    <w:rsid w:val="00B937DA"/>
    <w:rsid w:val="00B94141"/>
    <w:rsid w:val="00B942C6"/>
    <w:rsid w:val="00B9445A"/>
    <w:rsid w:val="00B94B82"/>
    <w:rsid w:val="00B9548F"/>
    <w:rsid w:val="00B95918"/>
    <w:rsid w:val="00B95C24"/>
    <w:rsid w:val="00B95E18"/>
    <w:rsid w:val="00B9610D"/>
    <w:rsid w:val="00B963D7"/>
    <w:rsid w:val="00B9641B"/>
    <w:rsid w:val="00B965F4"/>
    <w:rsid w:val="00B96AF6"/>
    <w:rsid w:val="00B96CE1"/>
    <w:rsid w:val="00B977F8"/>
    <w:rsid w:val="00B97C86"/>
    <w:rsid w:val="00B97DD5"/>
    <w:rsid w:val="00BA01CC"/>
    <w:rsid w:val="00BA03DC"/>
    <w:rsid w:val="00BA0719"/>
    <w:rsid w:val="00BA0C6E"/>
    <w:rsid w:val="00BA1AE8"/>
    <w:rsid w:val="00BA1E74"/>
    <w:rsid w:val="00BA2FAC"/>
    <w:rsid w:val="00BA3A5D"/>
    <w:rsid w:val="00BA6783"/>
    <w:rsid w:val="00BA6D32"/>
    <w:rsid w:val="00BB021B"/>
    <w:rsid w:val="00BB04D0"/>
    <w:rsid w:val="00BB1754"/>
    <w:rsid w:val="00BB22A2"/>
    <w:rsid w:val="00BB31D9"/>
    <w:rsid w:val="00BB44F6"/>
    <w:rsid w:val="00BB5473"/>
    <w:rsid w:val="00BB59A4"/>
    <w:rsid w:val="00BC0F55"/>
    <w:rsid w:val="00BC19EF"/>
    <w:rsid w:val="00BC2AFE"/>
    <w:rsid w:val="00BC3148"/>
    <w:rsid w:val="00BC3884"/>
    <w:rsid w:val="00BC3CF7"/>
    <w:rsid w:val="00BC42BE"/>
    <w:rsid w:val="00BC47A0"/>
    <w:rsid w:val="00BC486C"/>
    <w:rsid w:val="00BC5437"/>
    <w:rsid w:val="00BC764F"/>
    <w:rsid w:val="00BC767B"/>
    <w:rsid w:val="00BD0E55"/>
    <w:rsid w:val="00BD22EF"/>
    <w:rsid w:val="00BD35ED"/>
    <w:rsid w:val="00BD392C"/>
    <w:rsid w:val="00BD3B2E"/>
    <w:rsid w:val="00BD4550"/>
    <w:rsid w:val="00BD5437"/>
    <w:rsid w:val="00BD587E"/>
    <w:rsid w:val="00BD5A06"/>
    <w:rsid w:val="00BD7035"/>
    <w:rsid w:val="00BD71C7"/>
    <w:rsid w:val="00BD7AD2"/>
    <w:rsid w:val="00BE0897"/>
    <w:rsid w:val="00BE13C7"/>
    <w:rsid w:val="00BE1DB8"/>
    <w:rsid w:val="00BE233E"/>
    <w:rsid w:val="00BE264F"/>
    <w:rsid w:val="00BE26AD"/>
    <w:rsid w:val="00BE29BB"/>
    <w:rsid w:val="00BE3AB5"/>
    <w:rsid w:val="00BE4163"/>
    <w:rsid w:val="00BE4201"/>
    <w:rsid w:val="00BE46FE"/>
    <w:rsid w:val="00BE4D5C"/>
    <w:rsid w:val="00BE5013"/>
    <w:rsid w:val="00BE51F2"/>
    <w:rsid w:val="00BE56DB"/>
    <w:rsid w:val="00BE63D9"/>
    <w:rsid w:val="00BE65E0"/>
    <w:rsid w:val="00BF0496"/>
    <w:rsid w:val="00BF0B50"/>
    <w:rsid w:val="00BF0BBB"/>
    <w:rsid w:val="00BF1122"/>
    <w:rsid w:val="00BF1136"/>
    <w:rsid w:val="00BF1B05"/>
    <w:rsid w:val="00BF1EF5"/>
    <w:rsid w:val="00BF1F7E"/>
    <w:rsid w:val="00BF2BF8"/>
    <w:rsid w:val="00BF2C97"/>
    <w:rsid w:val="00BF30B7"/>
    <w:rsid w:val="00BF3854"/>
    <w:rsid w:val="00BF3AC4"/>
    <w:rsid w:val="00BF3DB9"/>
    <w:rsid w:val="00BF3FDD"/>
    <w:rsid w:val="00BF5790"/>
    <w:rsid w:val="00BF5B73"/>
    <w:rsid w:val="00C00FA1"/>
    <w:rsid w:val="00C012ED"/>
    <w:rsid w:val="00C02C1E"/>
    <w:rsid w:val="00C0347A"/>
    <w:rsid w:val="00C047CA"/>
    <w:rsid w:val="00C061D2"/>
    <w:rsid w:val="00C0665D"/>
    <w:rsid w:val="00C105A6"/>
    <w:rsid w:val="00C108D3"/>
    <w:rsid w:val="00C10A07"/>
    <w:rsid w:val="00C10AB2"/>
    <w:rsid w:val="00C11011"/>
    <w:rsid w:val="00C11DDC"/>
    <w:rsid w:val="00C120E9"/>
    <w:rsid w:val="00C12963"/>
    <w:rsid w:val="00C13AD9"/>
    <w:rsid w:val="00C14CEF"/>
    <w:rsid w:val="00C157C0"/>
    <w:rsid w:val="00C1581D"/>
    <w:rsid w:val="00C158A9"/>
    <w:rsid w:val="00C1711C"/>
    <w:rsid w:val="00C17FD0"/>
    <w:rsid w:val="00C20A5F"/>
    <w:rsid w:val="00C21A7F"/>
    <w:rsid w:val="00C22A39"/>
    <w:rsid w:val="00C23C98"/>
    <w:rsid w:val="00C23E56"/>
    <w:rsid w:val="00C241A9"/>
    <w:rsid w:val="00C24544"/>
    <w:rsid w:val="00C24E45"/>
    <w:rsid w:val="00C24EAE"/>
    <w:rsid w:val="00C2504C"/>
    <w:rsid w:val="00C250DA"/>
    <w:rsid w:val="00C25C9E"/>
    <w:rsid w:val="00C261B5"/>
    <w:rsid w:val="00C265EE"/>
    <w:rsid w:val="00C271F3"/>
    <w:rsid w:val="00C27D9B"/>
    <w:rsid w:val="00C30386"/>
    <w:rsid w:val="00C30ACA"/>
    <w:rsid w:val="00C3163B"/>
    <w:rsid w:val="00C31DBF"/>
    <w:rsid w:val="00C31E30"/>
    <w:rsid w:val="00C31FDE"/>
    <w:rsid w:val="00C32EB0"/>
    <w:rsid w:val="00C33611"/>
    <w:rsid w:val="00C34832"/>
    <w:rsid w:val="00C34E04"/>
    <w:rsid w:val="00C35180"/>
    <w:rsid w:val="00C35BE1"/>
    <w:rsid w:val="00C35C65"/>
    <w:rsid w:val="00C36096"/>
    <w:rsid w:val="00C369D0"/>
    <w:rsid w:val="00C379C5"/>
    <w:rsid w:val="00C40208"/>
    <w:rsid w:val="00C40686"/>
    <w:rsid w:val="00C40A93"/>
    <w:rsid w:val="00C40BDC"/>
    <w:rsid w:val="00C412BD"/>
    <w:rsid w:val="00C43285"/>
    <w:rsid w:val="00C432BA"/>
    <w:rsid w:val="00C43C24"/>
    <w:rsid w:val="00C44675"/>
    <w:rsid w:val="00C45009"/>
    <w:rsid w:val="00C45036"/>
    <w:rsid w:val="00C453E6"/>
    <w:rsid w:val="00C4591C"/>
    <w:rsid w:val="00C459B8"/>
    <w:rsid w:val="00C45A8A"/>
    <w:rsid w:val="00C463B3"/>
    <w:rsid w:val="00C47E83"/>
    <w:rsid w:val="00C51A62"/>
    <w:rsid w:val="00C51A75"/>
    <w:rsid w:val="00C51AE8"/>
    <w:rsid w:val="00C51BA4"/>
    <w:rsid w:val="00C51E71"/>
    <w:rsid w:val="00C52E06"/>
    <w:rsid w:val="00C5326B"/>
    <w:rsid w:val="00C57620"/>
    <w:rsid w:val="00C57C8F"/>
    <w:rsid w:val="00C57F23"/>
    <w:rsid w:val="00C618EA"/>
    <w:rsid w:val="00C61C88"/>
    <w:rsid w:val="00C63FA0"/>
    <w:rsid w:val="00C64922"/>
    <w:rsid w:val="00C654DF"/>
    <w:rsid w:val="00C661C0"/>
    <w:rsid w:val="00C6691E"/>
    <w:rsid w:val="00C670AD"/>
    <w:rsid w:val="00C704A2"/>
    <w:rsid w:val="00C7055B"/>
    <w:rsid w:val="00C70A5D"/>
    <w:rsid w:val="00C70CFC"/>
    <w:rsid w:val="00C7104E"/>
    <w:rsid w:val="00C717E5"/>
    <w:rsid w:val="00C71CF6"/>
    <w:rsid w:val="00C72702"/>
    <w:rsid w:val="00C72CBC"/>
    <w:rsid w:val="00C7359E"/>
    <w:rsid w:val="00C73D91"/>
    <w:rsid w:val="00C7417E"/>
    <w:rsid w:val="00C745D3"/>
    <w:rsid w:val="00C74C88"/>
    <w:rsid w:val="00C74D20"/>
    <w:rsid w:val="00C75641"/>
    <w:rsid w:val="00C75A87"/>
    <w:rsid w:val="00C75AB2"/>
    <w:rsid w:val="00C76059"/>
    <w:rsid w:val="00C80295"/>
    <w:rsid w:val="00C81240"/>
    <w:rsid w:val="00C81D61"/>
    <w:rsid w:val="00C82059"/>
    <w:rsid w:val="00C8230A"/>
    <w:rsid w:val="00C826AB"/>
    <w:rsid w:val="00C82F3E"/>
    <w:rsid w:val="00C82F7A"/>
    <w:rsid w:val="00C8483A"/>
    <w:rsid w:val="00C851D1"/>
    <w:rsid w:val="00C85F5F"/>
    <w:rsid w:val="00C865C3"/>
    <w:rsid w:val="00C86AA3"/>
    <w:rsid w:val="00C87422"/>
    <w:rsid w:val="00C87430"/>
    <w:rsid w:val="00C87E97"/>
    <w:rsid w:val="00C9081B"/>
    <w:rsid w:val="00C91501"/>
    <w:rsid w:val="00C91F84"/>
    <w:rsid w:val="00C9422A"/>
    <w:rsid w:val="00C9432A"/>
    <w:rsid w:val="00C94848"/>
    <w:rsid w:val="00C9517A"/>
    <w:rsid w:val="00C95511"/>
    <w:rsid w:val="00C95EB5"/>
    <w:rsid w:val="00C9614D"/>
    <w:rsid w:val="00C96A9F"/>
    <w:rsid w:val="00C97F23"/>
    <w:rsid w:val="00CA0704"/>
    <w:rsid w:val="00CA25B7"/>
    <w:rsid w:val="00CA2719"/>
    <w:rsid w:val="00CA2816"/>
    <w:rsid w:val="00CA2FBA"/>
    <w:rsid w:val="00CA3376"/>
    <w:rsid w:val="00CA4130"/>
    <w:rsid w:val="00CA4592"/>
    <w:rsid w:val="00CA754A"/>
    <w:rsid w:val="00CB0592"/>
    <w:rsid w:val="00CB0F18"/>
    <w:rsid w:val="00CB1A42"/>
    <w:rsid w:val="00CB23DB"/>
    <w:rsid w:val="00CB26D9"/>
    <w:rsid w:val="00CB2775"/>
    <w:rsid w:val="00CB397B"/>
    <w:rsid w:val="00CB5191"/>
    <w:rsid w:val="00CB5D03"/>
    <w:rsid w:val="00CB5DE6"/>
    <w:rsid w:val="00CB608F"/>
    <w:rsid w:val="00CB612C"/>
    <w:rsid w:val="00CB6994"/>
    <w:rsid w:val="00CB69D4"/>
    <w:rsid w:val="00CB70E2"/>
    <w:rsid w:val="00CC0026"/>
    <w:rsid w:val="00CC0682"/>
    <w:rsid w:val="00CC0723"/>
    <w:rsid w:val="00CC088B"/>
    <w:rsid w:val="00CC134F"/>
    <w:rsid w:val="00CC32B7"/>
    <w:rsid w:val="00CC37B7"/>
    <w:rsid w:val="00CC44D4"/>
    <w:rsid w:val="00CC48B8"/>
    <w:rsid w:val="00CC5DFC"/>
    <w:rsid w:val="00CC6198"/>
    <w:rsid w:val="00CC6776"/>
    <w:rsid w:val="00CC6F26"/>
    <w:rsid w:val="00CC70DD"/>
    <w:rsid w:val="00CD059F"/>
    <w:rsid w:val="00CD1473"/>
    <w:rsid w:val="00CD17D6"/>
    <w:rsid w:val="00CD1CA7"/>
    <w:rsid w:val="00CD2A3C"/>
    <w:rsid w:val="00CD398C"/>
    <w:rsid w:val="00CD3DBC"/>
    <w:rsid w:val="00CD5B64"/>
    <w:rsid w:val="00CD65C1"/>
    <w:rsid w:val="00CD6CDC"/>
    <w:rsid w:val="00CD70F7"/>
    <w:rsid w:val="00CD7910"/>
    <w:rsid w:val="00CE035D"/>
    <w:rsid w:val="00CE04DC"/>
    <w:rsid w:val="00CE06EA"/>
    <w:rsid w:val="00CE0EA7"/>
    <w:rsid w:val="00CE1ED1"/>
    <w:rsid w:val="00CE2C98"/>
    <w:rsid w:val="00CE33BC"/>
    <w:rsid w:val="00CE34E7"/>
    <w:rsid w:val="00CE3AFE"/>
    <w:rsid w:val="00CE47DF"/>
    <w:rsid w:val="00CE4E03"/>
    <w:rsid w:val="00CE4F4C"/>
    <w:rsid w:val="00CE50F0"/>
    <w:rsid w:val="00CE62BA"/>
    <w:rsid w:val="00CE7B65"/>
    <w:rsid w:val="00CF0E22"/>
    <w:rsid w:val="00CF18B3"/>
    <w:rsid w:val="00CF1A75"/>
    <w:rsid w:val="00CF1B8C"/>
    <w:rsid w:val="00CF2D73"/>
    <w:rsid w:val="00CF2E67"/>
    <w:rsid w:val="00CF2F63"/>
    <w:rsid w:val="00CF38C9"/>
    <w:rsid w:val="00CF39D1"/>
    <w:rsid w:val="00CF44DC"/>
    <w:rsid w:val="00CF5CC4"/>
    <w:rsid w:val="00CF5CCC"/>
    <w:rsid w:val="00CF6AF8"/>
    <w:rsid w:val="00CF6F6F"/>
    <w:rsid w:val="00D00402"/>
    <w:rsid w:val="00D004E5"/>
    <w:rsid w:val="00D004F4"/>
    <w:rsid w:val="00D00676"/>
    <w:rsid w:val="00D008CB"/>
    <w:rsid w:val="00D00FAF"/>
    <w:rsid w:val="00D01822"/>
    <w:rsid w:val="00D01FE7"/>
    <w:rsid w:val="00D0265E"/>
    <w:rsid w:val="00D026E9"/>
    <w:rsid w:val="00D02DD1"/>
    <w:rsid w:val="00D03302"/>
    <w:rsid w:val="00D03F26"/>
    <w:rsid w:val="00D04A75"/>
    <w:rsid w:val="00D05567"/>
    <w:rsid w:val="00D061EE"/>
    <w:rsid w:val="00D06541"/>
    <w:rsid w:val="00D06A61"/>
    <w:rsid w:val="00D06CFA"/>
    <w:rsid w:val="00D07722"/>
    <w:rsid w:val="00D07CC1"/>
    <w:rsid w:val="00D10164"/>
    <w:rsid w:val="00D11059"/>
    <w:rsid w:val="00D1158F"/>
    <w:rsid w:val="00D11893"/>
    <w:rsid w:val="00D12098"/>
    <w:rsid w:val="00D123D8"/>
    <w:rsid w:val="00D12978"/>
    <w:rsid w:val="00D13D91"/>
    <w:rsid w:val="00D15B53"/>
    <w:rsid w:val="00D1667A"/>
    <w:rsid w:val="00D17221"/>
    <w:rsid w:val="00D207D4"/>
    <w:rsid w:val="00D21442"/>
    <w:rsid w:val="00D214B5"/>
    <w:rsid w:val="00D24021"/>
    <w:rsid w:val="00D25741"/>
    <w:rsid w:val="00D26C12"/>
    <w:rsid w:val="00D26F59"/>
    <w:rsid w:val="00D2717F"/>
    <w:rsid w:val="00D27BB6"/>
    <w:rsid w:val="00D308B1"/>
    <w:rsid w:val="00D30CCA"/>
    <w:rsid w:val="00D30ECC"/>
    <w:rsid w:val="00D31C38"/>
    <w:rsid w:val="00D31F91"/>
    <w:rsid w:val="00D32ECE"/>
    <w:rsid w:val="00D375A7"/>
    <w:rsid w:val="00D40B7B"/>
    <w:rsid w:val="00D40B87"/>
    <w:rsid w:val="00D40C2E"/>
    <w:rsid w:val="00D40FD8"/>
    <w:rsid w:val="00D4115B"/>
    <w:rsid w:val="00D414E5"/>
    <w:rsid w:val="00D41ADB"/>
    <w:rsid w:val="00D43737"/>
    <w:rsid w:val="00D445C8"/>
    <w:rsid w:val="00D447DD"/>
    <w:rsid w:val="00D447ED"/>
    <w:rsid w:val="00D45445"/>
    <w:rsid w:val="00D45639"/>
    <w:rsid w:val="00D45B61"/>
    <w:rsid w:val="00D4643B"/>
    <w:rsid w:val="00D46603"/>
    <w:rsid w:val="00D4679A"/>
    <w:rsid w:val="00D468F5"/>
    <w:rsid w:val="00D469E6"/>
    <w:rsid w:val="00D46BC6"/>
    <w:rsid w:val="00D46F23"/>
    <w:rsid w:val="00D478C1"/>
    <w:rsid w:val="00D47E0B"/>
    <w:rsid w:val="00D47F9F"/>
    <w:rsid w:val="00D5065B"/>
    <w:rsid w:val="00D511F9"/>
    <w:rsid w:val="00D51458"/>
    <w:rsid w:val="00D5151A"/>
    <w:rsid w:val="00D5166C"/>
    <w:rsid w:val="00D52612"/>
    <w:rsid w:val="00D529F5"/>
    <w:rsid w:val="00D53874"/>
    <w:rsid w:val="00D539CF"/>
    <w:rsid w:val="00D53D20"/>
    <w:rsid w:val="00D54293"/>
    <w:rsid w:val="00D544A1"/>
    <w:rsid w:val="00D54E71"/>
    <w:rsid w:val="00D55010"/>
    <w:rsid w:val="00D56212"/>
    <w:rsid w:val="00D5637C"/>
    <w:rsid w:val="00D5689B"/>
    <w:rsid w:val="00D5752C"/>
    <w:rsid w:val="00D577AD"/>
    <w:rsid w:val="00D60DC3"/>
    <w:rsid w:val="00D61ACC"/>
    <w:rsid w:val="00D61F8A"/>
    <w:rsid w:val="00D6299B"/>
    <w:rsid w:val="00D63539"/>
    <w:rsid w:val="00D63812"/>
    <w:rsid w:val="00D63BD2"/>
    <w:rsid w:val="00D6622C"/>
    <w:rsid w:val="00D6630E"/>
    <w:rsid w:val="00D664A6"/>
    <w:rsid w:val="00D67388"/>
    <w:rsid w:val="00D705A7"/>
    <w:rsid w:val="00D71D14"/>
    <w:rsid w:val="00D72395"/>
    <w:rsid w:val="00D7321B"/>
    <w:rsid w:val="00D73560"/>
    <w:rsid w:val="00D73783"/>
    <w:rsid w:val="00D739D9"/>
    <w:rsid w:val="00D74F40"/>
    <w:rsid w:val="00D75081"/>
    <w:rsid w:val="00D7532D"/>
    <w:rsid w:val="00D76215"/>
    <w:rsid w:val="00D7669F"/>
    <w:rsid w:val="00D77022"/>
    <w:rsid w:val="00D77428"/>
    <w:rsid w:val="00D80A0C"/>
    <w:rsid w:val="00D81FF2"/>
    <w:rsid w:val="00D8289A"/>
    <w:rsid w:val="00D83ACB"/>
    <w:rsid w:val="00D8400F"/>
    <w:rsid w:val="00D86B44"/>
    <w:rsid w:val="00D8706D"/>
    <w:rsid w:val="00D877AE"/>
    <w:rsid w:val="00D87D19"/>
    <w:rsid w:val="00D87F4F"/>
    <w:rsid w:val="00D90EDE"/>
    <w:rsid w:val="00D90FB9"/>
    <w:rsid w:val="00D92E59"/>
    <w:rsid w:val="00D94579"/>
    <w:rsid w:val="00D949B5"/>
    <w:rsid w:val="00D95FF7"/>
    <w:rsid w:val="00D9648C"/>
    <w:rsid w:val="00D9794A"/>
    <w:rsid w:val="00DA086B"/>
    <w:rsid w:val="00DA08BE"/>
    <w:rsid w:val="00DA0AA0"/>
    <w:rsid w:val="00DA1488"/>
    <w:rsid w:val="00DA20EB"/>
    <w:rsid w:val="00DA341D"/>
    <w:rsid w:val="00DA45D3"/>
    <w:rsid w:val="00DA4666"/>
    <w:rsid w:val="00DA5F5D"/>
    <w:rsid w:val="00DA6660"/>
    <w:rsid w:val="00DA75EF"/>
    <w:rsid w:val="00DB08BB"/>
    <w:rsid w:val="00DB1027"/>
    <w:rsid w:val="00DB1826"/>
    <w:rsid w:val="00DB1AF1"/>
    <w:rsid w:val="00DB1D7A"/>
    <w:rsid w:val="00DB2A03"/>
    <w:rsid w:val="00DB2A62"/>
    <w:rsid w:val="00DB2EFF"/>
    <w:rsid w:val="00DB38B4"/>
    <w:rsid w:val="00DB3B0E"/>
    <w:rsid w:val="00DB4AC4"/>
    <w:rsid w:val="00DB55DF"/>
    <w:rsid w:val="00DB5762"/>
    <w:rsid w:val="00DB5769"/>
    <w:rsid w:val="00DB66BD"/>
    <w:rsid w:val="00DB677C"/>
    <w:rsid w:val="00DB7706"/>
    <w:rsid w:val="00DB7DC6"/>
    <w:rsid w:val="00DC01A3"/>
    <w:rsid w:val="00DC137A"/>
    <w:rsid w:val="00DC1A5E"/>
    <w:rsid w:val="00DC2763"/>
    <w:rsid w:val="00DC2CB1"/>
    <w:rsid w:val="00DC2E86"/>
    <w:rsid w:val="00DC2F1D"/>
    <w:rsid w:val="00DC309F"/>
    <w:rsid w:val="00DC4F41"/>
    <w:rsid w:val="00DC52DC"/>
    <w:rsid w:val="00DC5891"/>
    <w:rsid w:val="00DC5C81"/>
    <w:rsid w:val="00DC7DA3"/>
    <w:rsid w:val="00DD0149"/>
    <w:rsid w:val="00DD0E43"/>
    <w:rsid w:val="00DD230A"/>
    <w:rsid w:val="00DD2A97"/>
    <w:rsid w:val="00DD3D23"/>
    <w:rsid w:val="00DD4210"/>
    <w:rsid w:val="00DD4905"/>
    <w:rsid w:val="00DD54A1"/>
    <w:rsid w:val="00DD592A"/>
    <w:rsid w:val="00DD6FDA"/>
    <w:rsid w:val="00DD7D31"/>
    <w:rsid w:val="00DE049E"/>
    <w:rsid w:val="00DE09D3"/>
    <w:rsid w:val="00DE0C57"/>
    <w:rsid w:val="00DE0E10"/>
    <w:rsid w:val="00DE0FCE"/>
    <w:rsid w:val="00DE1374"/>
    <w:rsid w:val="00DE13BA"/>
    <w:rsid w:val="00DE1B71"/>
    <w:rsid w:val="00DE246F"/>
    <w:rsid w:val="00DE2F76"/>
    <w:rsid w:val="00DE3935"/>
    <w:rsid w:val="00DE3A11"/>
    <w:rsid w:val="00DE3C60"/>
    <w:rsid w:val="00DE49B3"/>
    <w:rsid w:val="00DE5E07"/>
    <w:rsid w:val="00DE6052"/>
    <w:rsid w:val="00DE6A1B"/>
    <w:rsid w:val="00DE70AF"/>
    <w:rsid w:val="00DE754B"/>
    <w:rsid w:val="00DE7917"/>
    <w:rsid w:val="00DE7B97"/>
    <w:rsid w:val="00DF0265"/>
    <w:rsid w:val="00DF0724"/>
    <w:rsid w:val="00DF16DB"/>
    <w:rsid w:val="00DF260D"/>
    <w:rsid w:val="00DF355D"/>
    <w:rsid w:val="00DF3997"/>
    <w:rsid w:val="00DF3B49"/>
    <w:rsid w:val="00DF3E85"/>
    <w:rsid w:val="00DF3F1F"/>
    <w:rsid w:val="00DF4258"/>
    <w:rsid w:val="00DF433D"/>
    <w:rsid w:val="00DF4BB3"/>
    <w:rsid w:val="00DF5575"/>
    <w:rsid w:val="00DF6046"/>
    <w:rsid w:val="00DF6DCB"/>
    <w:rsid w:val="00DF75CC"/>
    <w:rsid w:val="00E0022E"/>
    <w:rsid w:val="00E012F5"/>
    <w:rsid w:val="00E026A1"/>
    <w:rsid w:val="00E028B5"/>
    <w:rsid w:val="00E02D05"/>
    <w:rsid w:val="00E041A7"/>
    <w:rsid w:val="00E0444A"/>
    <w:rsid w:val="00E04818"/>
    <w:rsid w:val="00E05550"/>
    <w:rsid w:val="00E05647"/>
    <w:rsid w:val="00E05D65"/>
    <w:rsid w:val="00E07485"/>
    <w:rsid w:val="00E10134"/>
    <w:rsid w:val="00E1032D"/>
    <w:rsid w:val="00E10738"/>
    <w:rsid w:val="00E10C91"/>
    <w:rsid w:val="00E10EA5"/>
    <w:rsid w:val="00E1261E"/>
    <w:rsid w:val="00E1261F"/>
    <w:rsid w:val="00E12DCE"/>
    <w:rsid w:val="00E13119"/>
    <w:rsid w:val="00E137BE"/>
    <w:rsid w:val="00E14039"/>
    <w:rsid w:val="00E15139"/>
    <w:rsid w:val="00E15492"/>
    <w:rsid w:val="00E16150"/>
    <w:rsid w:val="00E163F7"/>
    <w:rsid w:val="00E16A8C"/>
    <w:rsid w:val="00E17010"/>
    <w:rsid w:val="00E2031C"/>
    <w:rsid w:val="00E207E3"/>
    <w:rsid w:val="00E20B18"/>
    <w:rsid w:val="00E20C4B"/>
    <w:rsid w:val="00E210DB"/>
    <w:rsid w:val="00E21504"/>
    <w:rsid w:val="00E21FD1"/>
    <w:rsid w:val="00E2335B"/>
    <w:rsid w:val="00E2375E"/>
    <w:rsid w:val="00E23C21"/>
    <w:rsid w:val="00E23D39"/>
    <w:rsid w:val="00E240C0"/>
    <w:rsid w:val="00E240DA"/>
    <w:rsid w:val="00E25741"/>
    <w:rsid w:val="00E260AF"/>
    <w:rsid w:val="00E266F3"/>
    <w:rsid w:val="00E26A03"/>
    <w:rsid w:val="00E26AC4"/>
    <w:rsid w:val="00E2741E"/>
    <w:rsid w:val="00E277DA"/>
    <w:rsid w:val="00E27A30"/>
    <w:rsid w:val="00E30645"/>
    <w:rsid w:val="00E3095B"/>
    <w:rsid w:val="00E31194"/>
    <w:rsid w:val="00E32B20"/>
    <w:rsid w:val="00E3307C"/>
    <w:rsid w:val="00E33CF3"/>
    <w:rsid w:val="00E35427"/>
    <w:rsid w:val="00E35912"/>
    <w:rsid w:val="00E3641D"/>
    <w:rsid w:val="00E3782B"/>
    <w:rsid w:val="00E41359"/>
    <w:rsid w:val="00E41EB6"/>
    <w:rsid w:val="00E42BC8"/>
    <w:rsid w:val="00E42F06"/>
    <w:rsid w:val="00E4351D"/>
    <w:rsid w:val="00E4367D"/>
    <w:rsid w:val="00E43C38"/>
    <w:rsid w:val="00E44063"/>
    <w:rsid w:val="00E4477D"/>
    <w:rsid w:val="00E448BB"/>
    <w:rsid w:val="00E46B16"/>
    <w:rsid w:val="00E47517"/>
    <w:rsid w:val="00E47774"/>
    <w:rsid w:val="00E47B95"/>
    <w:rsid w:val="00E512F0"/>
    <w:rsid w:val="00E522F3"/>
    <w:rsid w:val="00E5261F"/>
    <w:rsid w:val="00E545BC"/>
    <w:rsid w:val="00E54D53"/>
    <w:rsid w:val="00E55550"/>
    <w:rsid w:val="00E56C36"/>
    <w:rsid w:val="00E56EF3"/>
    <w:rsid w:val="00E572FA"/>
    <w:rsid w:val="00E579F9"/>
    <w:rsid w:val="00E6047C"/>
    <w:rsid w:val="00E60672"/>
    <w:rsid w:val="00E62AF8"/>
    <w:rsid w:val="00E643D0"/>
    <w:rsid w:val="00E64ADA"/>
    <w:rsid w:val="00E65A15"/>
    <w:rsid w:val="00E70A02"/>
    <w:rsid w:val="00E70C61"/>
    <w:rsid w:val="00E70FDA"/>
    <w:rsid w:val="00E71062"/>
    <w:rsid w:val="00E715C5"/>
    <w:rsid w:val="00E71F20"/>
    <w:rsid w:val="00E72125"/>
    <w:rsid w:val="00E7217E"/>
    <w:rsid w:val="00E72BE2"/>
    <w:rsid w:val="00E72EC4"/>
    <w:rsid w:val="00E72EFC"/>
    <w:rsid w:val="00E743D1"/>
    <w:rsid w:val="00E74ADD"/>
    <w:rsid w:val="00E74AE7"/>
    <w:rsid w:val="00E753E3"/>
    <w:rsid w:val="00E7641B"/>
    <w:rsid w:val="00E76DB6"/>
    <w:rsid w:val="00E7743F"/>
    <w:rsid w:val="00E77913"/>
    <w:rsid w:val="00E80477"/>
    <w:rsid w:val="00E80523"/>
    <w:rsid w:val="00E8091A"/>
    <w:rsid w:val="00E81327"/>
    <w:rsid w:val="00E81DC9"/>
    <w:rsid w:val="00E82AFA"/>
    <w:rsid w:val="00E83490"/>
    <w:rsid w:val="00E834A7"/>
    <w:rsid w:val="00E8424F"/>
    <w:rsid w:val="00E84895"/>
    <w:rsid w:val="00E849F0"/>
    <w:rsid w:val="00E8701D"/>
    <w:rsid w:val="00E87240"/>
    <w:rsid w:val="00E873B5"/>
    <w:rsid w:val="00E874C3"/>
    <w:rsid w:val="00E877C4"/>
    <w:rsid w:val="00E902EC"/>
    <w:rsid w:val="00E90BCD"/>
    <w:rsid w:val="00E90DF7"/>
    <w:rsid w:val="00E90FEB"/>
    <w:rsid w:val="00E91050"/>
    <w:rsid w:val="00E91991"/>
    <w:rsid w:val="00E921CE"/>
    <w:rsid w:val="00E935B8"/>
    <w:rsid w:val="00E9366B"/>
    <w:rsid w:val="00E93FBB"/>
    <w:rsid w:val="00E94808"/>
    <w:rsid w:val="00E94852"/>
    <w:rsid w:val="00E968D8"/>
    <w:rsid w:val="00E973B3"/>
    <w:rsid w:val="00E97779"/>
    <w:rsid w:val="00E9794F"/>
    <w:rsid w:val="00E979E8"/>
    <w:rsid w:val="00E97A78"/>
    <w:rsid w:val="00EA0E35"/>
    <w:rsid w:val="00EA1434"/>
    <w:rsid w:val="00EA379D"/>
    <w:rsid w:val="00EA3B60"/>
    <w:rsid w:val="00EA426A"/>
    <w:rsid w:val="00EA4878"/>
    <w:rsid w:val="00EA596C"/>
    <w:rsid w:val="00EA5A7E"/>
    <w:rsid w:val="00EA5E68"/>
    <w:rsid w:val="00EA698C"/>
    <w:rsid w:val="00EA74A9"/>
    <w:rsid w:val="00EA7568"/>
    <w:rsid w:val="00EA795A"/>
    <w:rsid w:val="00EB04C3"/>
    <w:rsid w:val="00EB0B00"/>
    <w:rsid w:val="00EB1094"/>
    <w:rsid w:val="00EB178D"/>
    <w:rsid w:val="00EB278C"/>
    <w:rsid w:val="00EB320A"/>
    <w:rsid w:val="00EB3F10"/>
    <w:rsid w:val="00EB4015"/>
    <w:rsid w:val="00EB424E"/>
    <w:rsid w:val="00EB436C"/>
    <w:rsid w:val="00EB4828"/>
    <w:rsid w:val="00EB65AC"/>
    <w:rsid w:val="00EB7EE9"/>
    <w:rsid w:val="00EC0177"/>
    <w:rsid w:val="00EC070F"/>
    <w:rsid w:val="00EC0E04"/>
    <w:rsid w:val="00EC1914"/>
    <w:rsid w:val="00EC1947"/>
    <w:rsid w:val="00EC1A27"/>
    <w:rsid w:val="00EC22C0"/>
    <w:rsid w:val="00EC36CD"/>
    <w:rsid w:val="00EC3C75"/>
    <w:rsid w:val="00EC4878"/>
    <w:rsid w:val="00EC4AAA"/>
    <w:rsid w:val="00EC4E25"/>
    <w:rsid w:val="00EC76DF"/>
    <w:rsid w:val="00EC798A"/>
    <w:rsid w:val="00EC7FA3"/>
    <w:rsid w:val="00ED028C"/>
    <w:rsid w:val="00ED058B"/>
    <w:rsid w:val="00ED2441"/>
    <w:rsid w:val="00ED30B6"/>
    <w:rsid w:val="00ED4BE7"/>
    <w:rsid w:val="00ED5668"/>
    <w:rsid w:val="00ED56C8"/>
    <w:rsid w:val="00ED57B0"/>
    <w:rsid w:val="00ED6457"/>
    <w:rsid w:val="00ED6491"/>
    <w:rsid w:val="00ED719D"/>
    <w:rsid w:val="00ED7DC4"/>
    <w:rsid w:val="00EE0423"/>
    <w:rsid w:val="00EE04EA"/>
    <w:rsid w:val="00EE08BD"/>
    <w:rsid w:val="00EE0C5B"/>
    <w:rsid w:val="00EE14E2"/>
    <w:rsid w:val="00EE18EF"/>
    <w:rsid w:val="00EE41EA"/>
    <w:rsid w:val="00EE4506"/>
    <w:rsid w:val="00EE505B"/>
    <w:rsid w:val="00EE50D1"/>
    <w:rsid w:val="00EE5619"/>
    <w:rsid w:val="00EE66A4"/>
    <w:rsid w:val="00EE73B3"/>
    <w:rsid w:val="00EE7B8A"/>
    <w:rsid w:val="00EE7F97"/>
    <w:rsid w:val="00EF06BA"/>
    <w:rsid w:val="00EF0FF1"/>
    <w:rsid w:val="00EF17AB"/>
    <w:rsid w:val="00EF1C73"/>
    <w:rsid w:val="00EF378B"/>
    <w:rsid w:val="00EF4593"/>
    <w:rsid w:val="00EF46C0"/>
    <w:rsid w:val="00EF5439"/>
    <w:rsid w:val="00EF61F2"/>
    <w:rsid w:val="00EF6334"/>
    <w:rsid w:val="00EF6BBF"/>
    <w:rsid w:val="00EF7313"/>
    <w:rsid w:val="00EF7940"/>
    <w:rsid w:val="00EF7DFD"/>
    <w:rsid w:val="00EF7FAD"/>
    <w:rsid w:val="00F00184"/>
    <w:rsid w:val="00F00482"/>
    <w:rsid w:val="00F008B0"/>
    <w:rsid w:val="00F00973"/>
    <w:rsid w:val="00F00F10"/>
    <w:rsid w:val="00F01130"/>
    <w:rsid w:val="00F01C6D"/>
    <w:rsid w:val="00F02846"/>
    <w:rsid w:val="00F02954"/>
    <w:rsid w:val="00F029F4"/>
    <w:rsid w:val="00F02C24"/>
    <w:rsid w:val="00F02E20"/>
    <w:rsid w:val="00F031A2"/>
    <w:rsid w:val="00F0393B"/>
    <w:rsid w:val="00F042D8"/>
    <w:rsid w:val="00F04386"/>
    <w:rsid w:val="00F04415"/>
    <w:rsid w:val="00F04A76"/>
    <w:rsid w:val="00F04BE0"/>
    <w:rsid w:val="00F04C5E"/>
    <w:rsid w:val="00F04FE3"/>
    <w:rsid w:val="00F055D1"/>
    <w:rsid w:val="00F057C1"/>
    <w:rsid w:val="00F0726C"/>
    <w:rsid w:val="00F0754E"/>
    <w:rsid w:val="00F07FB3"/>
    <w:rsid w:val="00F10ED2"/>
    <w:rsid w:val="00F1131F"/>
    <w:rsid w:val="00F11374"/>
    <w:rsid w:val="00F11381"/>
    <w:rsid w:val="00F11DB4"/>
    <w:rsid w:val="00F12515"/>
    <w:rsid w:val="00F12811"/>
    <w:rsid w:val="00F12B96"/>
    <w:rsid w:val="00F13142"/>
    <w:rsid w:val="00F137EF"/>
    <w:rsid w:val="00F13B15"/>
    <w:rsid w:val="00F13E00"/>
    <w:rsid w:val="00F14050"/>
    <w:rsid w:val="00F14695"/>
    <w:rsid w:val="00F14718"/>
    <w:rsid w:val="00F14FFC"/>
    <w:rsid w:val="00F15CDD"/>
    <w:rsid w:val="00F16051"/>
    <w:rsid w:val="00F1727B"/>
    <w:rsid w:val="00F17DFA"/>
    <w:rsid w:val="00F20237"/>
    <w:rsid w:val="00F2039F"/>
    <w:rsid w:val="00F20491"/>
    <w:rsid w:val="00F20575"/>
    <w:rsid w:val="00F20858"/>
    <w:rsid w:val="00F20AF6"/>
    <w:rsid w:val="00F21143"/>
    <w:rsid w:val="00F211E7"/>
    <w:rsid w:val="00F2162B"/>
    <w:rsid w:val="00F218CE"/>
    <w:rsid w:val="00F21A02"/>
    <w:rsid w:val="00F21AC9"/>
    <w:rsid w:val="00F21B45"/>
    <w:rsid w:val="00F22966"/>
    <w:rsid w:val="00F22A97"/>
    <w:rsid w:val="00F22B0A"/>
    <w:rsid w:val="00F22FC8"/>
    <w:rsid w:val="00F237D0"/>
    <w:rsid w:val="00F2397F"/>
    <w:rsid w:val="00F23F19"/>
    <w:rsid w:val="00F247BB"/>
    <w:rsid w:val="00F24AB2"/>
    <w:rsid w:val="00F24E43"/>
    <w:rsid w:val="00F24F79"/>
    <w:rsid w:val="00F26048"/>
    <w:rsid w:val="00F26264"/>
    <w:rsid w:val="00F26FC2"/>
    <w:rsid w:val="00F2737A"/>
    <w:rsid w:val="00F30F53"/>
    <w:rsid w:val="00F32560"/>
    <w:rsid w:val="00F32799"/>
    <w:rsid w:val="00F34CEC"/>
    <w:rsid w:val="00F34E24"/>
    <w:rsid w:val="00F356E7"/>
    <w:rsid w:val="00F36DA0"/>
    <w:rsid w:val="00F375B8"/>
    <w:rsid w:val="00F37EF0"/>
    <w:rsid w:val="00F40E62"/>
    <w:rsid w:val="00F41454"/>
    <w:rsid w:val="00F41860"/>
    <w:rsid w:val="00F41DCA"/>
    <w:rsid w:val="00F42C0E"/>
    <w:rsid w:val="00F42F0A"/>
    <w:rsid w:val="00F44913"/>
    <w:rsid w:val="00F449EE"/>
    <w:rsid w:val="00F45A5A"/>
    <w:rsid w:val="00F47831"/>
    <w:rsid w:val="00F47832"/>
    <w:rsid w:val="00F50576"/>
    <w:rsid w:val="00F5081B"/>
    <w:rsid w:val="00F51972"/>
    <w:rsid w:val="00F51C5B"/>
    <w:rsid w:val="00F51D1F"/>
    <w:rsid w:val="00F51F45"/>
    <w:rsid w:val="00F52E3D"/>
    <w:rsid w:val="00F5440E"/>
    <w:rsid w:val="00F54932"/>
    <w:rsid w:val="00F54C39"/>
    <w:rsid w:val="00F56765"/>
    <w:rsid w:val="00F56C49"/>
    <w:rsid w:val="00F56D18"/>
    <w:rsid w:val="00F57158"/>
    <w:rsid w:val="00F6065A"/>
    <w:rsid w:val="00F6090D"/>
    <w:rsid w:val="00F60B8B"/>
    <w:rsid w:val="00F60F6A"/>
    <w:rsid w:val="00F61538"/>
    <w:rsid w:val="00F6156C"/>
    <w:rsid w:val="00F626E8"/>
    <w:rsid w:val="00F62818"/>
    <w:rsid w:val="00F62820"/>
    <w:rsid w:val="00F64DD2"/>
    <w:rsid w:val="00F64E0A"/>
    <w:rsid w:val="00F65625"/>
    <w:rsid w:val="00F659A3"/>
    <w:rsid w:val="00F65B6E"/>
    <w:rsid w:val="00F703F0"/>
    <w:rsid w:val="00F71FD1"/>
    <w:rsid w:val="00F7320A"/>
    <w:rsid w:val="00F73FD7"/>
    <w:rsid w:val="00F74EB9"/>
    <w:rsid w:val="00F75F35"/>
    <w:rsid w:val="00F76633"/>
    <w:rsid w:val="00F76656"/>
    <w:rsid w:val="00F76B7C"/>
    <w:rsid w:val="00F77203"/>
    <w:rsid w:val="00F77CA2"/>
    <w:rsid w:val="00F809F4"/>
    <w:rsid w:val="00F843D1"/>
    <w:rsid w:val="00F84F21"/>
    <w:rsid w:val="00F85336"/>
    <w:rsid w:val="00F867EC"/>
    <w:rsid w:val="00F868B5"/>
    <w:rsid w:val="00F87731"/>
    <w:rsid w:val="00F8779F"/>
    <w:rsid w:val="00F877DB"/>
    <w:rsid w:val="00F87AD8"/>
    <w:rsid w:val="00F87B15"/>
    <w:rsid w:val="00F90158"/>
    <w:rsid w:val="00F901D5"/>
    <w:rsid w:val="00F90C46"/>
    <w:rsid w:val="00F91776"/>
    <w:rsid w:val="00F91A08"/>
    <w:rsid w:val="00F92F24"/>
    <w:rsid w:val="00F934C2"/>
    <w:rsid w:val="00F93AA1"/>
    <w:rsid w:val="00F93AD2"/>
    <w:rsid w:val="00F955EA"/>
    <w:rsid w:val="00F9612A"/>
    <w:rsid w:val="00F96BD1"/>
    <w:rsid w:val="00F96E58"/>
    <w:rsid w:val="00F97439"/>
    <w:rsid w:val="00F9780B"/>
    <w:rsid w:val="00F97FE6"/>
    <w:rsid w:val="00FA02D7"/>
    <w:rsid w:val="00FA0491"/>
    <w:rsid w:val="00FA26C3"/>
    <w:rsid w:val="00FA2983"/>
    <w:rsid w:val="00FA3E15"/>
    <w:rsid w:val="00FA3FED"/>
    <w:rsid w:val="00FA4EFB"/>
    <w:rsid w:val="00FA5048"/>
    <w:rsid w:val="00FA5F95"/>
    <w:rsid w:val="00FA62DB"/>
    <w:rsid w:val="00FA638C"/>
    <w:rsid w:val="00FA63C8"/>
    <w:rsid w:val="00FA72B1"/>
    <w:rsid w:val="00FA7D25"/>
    <w:rsid w:val="00FB0B27"/>
    <w:rsid w:val="00FB0DD2"/>
    <w:rsid w:val="00FB14D3"/>
    <w:rsid w:val="00FB1A96"/>
    <w:rsid w:val="00FB1D86"/>
    <w:rsid w:val="00FB26D8"/>
    <w:rsid w:val="00FB27F8"/>
    <w:rsid w:val="00FB298B"/>
    <w:rsid w:val="00FB33FE"/>
    <w:rsid w:val="00FB37CB"/>
    <w:rsid w:val="00FB3A5E"/>
    <w:rsid w:val="00FB453C"/>
    <w:rsid w:val="00FB4BA6"/>
    <w:rsid w:val="00FB5320"/>
    <w:rsid w:val="00FB5839"/>
    <w:rsid w:val="00FB659B"/>
    <w:rsid w:val="00FB65CC"/>
    <w:rsid w:val="00FB68D2"/>
    <w:rsid w:val="00FB6904"/>
    <w:rsid w:val="00FB708F"/>
    <w:rsid w:val="00FB7FDC"/>
    <w:rsid w:val="00FC094D"/>
    <w:rsid w:val="00FC0BEF"/>
    <w:rsid w:val="00FC1BA6"/>
    <w:rsid w:val="00FC1CB3"/>
    <w:rsid w:val="00FC2412"/>
    <w:rsid w:val="00FC2AF2"/>
    <w:rsid w:val="00FC33B2"/>
    <w:rsid w:val="00FC4203"/>
    <w:rsid w:val="00FC4CC6"/>
    <w:rsid w:val="00FC50C9"/>
    <w:rsid w:val="00FC50E9"/>
    <w:rsid w:val="00FC5201"/>
    <w:rsid w:val="00FC542B"/>
    <w:rsid w:val="00FC55DE"/>
    <w:rsid w:val="00FC57F7"/>
    <w:rsid w:val="00FC5835"/>
    <w:rsid w:val="00FC6308"/>
    <w:rsid w:val="00FC632B"/>
    <w:rsid w:val="00FD0738"/>
    <w:rsid w:val="00FD0E2E"/>
    <w:rsid w:val="00FD0FA7"/>
    <w:rsid w:val="00FD1021"/>
    <w:rsid w:val="00FD1505"/>
    <w:rsid w:val="00FD19A6"/>
    <w:rsid w:val="00FD1BA5"/>
    <w:rsid w:val="00FD291B"/>
    <w:rsid w:val="00FD3B55"/>
    <w:rsid w:val="00FD4293"/>
    <w:rsid w:val="00FD42D6"/>
    <w:rsid w:val="00FD44D4"/>
    <w:rsid w:val="00FD4C2A"/>
    <w:rsid w:val="00FE0291"/>
    <w:rsid w:val="00FE09E6"/>
    <w:rsid w:val="00FE12A8"/>
    <w:rsid w:val="00FE131B"/>
    <w:rsid w:val="00FE1C5A"/>
    <w:rsid w:val="00FE2D2F"/>
    <w:rsid w:val="00FE341D"/>
    <w:rsid w:val="00FE4360"/>
    <w:rsid w:val="00FE4D11"/>
    <w:rsid w:val="00FE62D2"/>
    <w:rsid w:val="00FE7E2C"/>
    <w:rsid w:val="00FF01B8"/>
    <w:rsid w:val="00FF0BA5"/>
    <w:rsid w:val="00FF1A75"/>
    <w:rsid w:val="00FF1CA8"/>
    <w:rsid w:val="00FF1E77"/>
    <w:rsid w:val="00FF21B2"/>
    <w:rsid w:val="00FF2778"/>
    <w:rsid w:val="00FF2C5C"/>
    <w:rsid w:val="00FF2E76"/>
    <w:rsid w:val="00FF387B"/>
    <w:rsid w:val="00FF41E3"/>
    <w:rsid w:val="00FF4730"/>
    <w:rsid w:val="00FF5035"/>
    <w:rsid w:val="00FF5955"/>
    <w:rsid w:val="0264799D"/>
    <w:rsid w:val="04A60A6D"/>
    <w:rsid w:val="052D3202"/>
    <w:rsid w:val="058565BE"/>
    <w:rsid w:val="05894BB7"/>
    <w:rsid w:val="06991263"/>
    <w:rsid w:val="069F6C6D"/>
    <w:rsid w:val="06B54B6D"/>
    <w:rsid w:val="098C6812"/>
    <w:rsid w:val="09DB4603"/>
    <w:rsid w:val="0A093C6E"/>
    <w:rsid w:val="0C67306E"/>
    <w:rsid w:val="0DBF0B52"/>
    <w:rsid w:val="0FEF7000"/>
    <w:rsid w:val="100920B1"/>
    <w:rsid w:val="10551F79"/>
    <w:rsid w:val="124A7B54"/>
    <w:rsid w:val="12F76F64"/>
    <w:rsid w:val="142E658A"/>
    <w:rsid w:val="14E01AB1"/>
    <w:rsid w:val="171B3A9C"/>
    <w:rsid w:val="17583F5C"/>
    <w:rsid w:val="183060D3"/>
    <w:rsid w:val="186C067C"/>
    <w:rsid w:val="19377FD9"/>
    <w:rsid w:val="19803AD2"/>
    <w:rsid w:val="1B936716"/>
    <w:rsid w:val="1C4409A8"/>
    <w:rsid w:val="1D9536D0"/>
    <w:rsid w:val="20CE02EB"/>
    <w:rsid w:val="217E6108"/>
    <w:rsid w:val="223F3975"/>
    <w:rsid w:val="23AD1279"/>
    <w:rsid w:val="24584FF0"/>
    <w:rsid w:val="26021B63"/>
    <w:rsid w:val="2A13789D"/>
    <w:rsid w:val="2B30790B"/>
    <w:rsid w:val="2BD044BD"/>
    <w:rsid w:val="2D1F27C3"/>
    <w:rsid w:val="2EAB51B8"/>
    <w:rsid w:val="2EAE07C3"/>
    <w:rsid w:val="2F9139DD"/>
    <w:rsid w:val="30CB7CFA"/>
    <w:rsid w:val="31273EE5"/>
    <w:rsid w:val="32FF2F6D"/>
    <w:rsid w:val="33D36782"/>
    <w:rsid w:val="350C05CE"/>
    <w:rsid w:val="352F37E7"/>
    <w:rsid w:val="35425C2C"/>
    <w:rsid w:val="3613212C"/>
    <w:rsid w:val="369C13BA"/>
    <w:rsid w:val="37816E36"/>
    <w:rsid w:val="38EA61F6"/>
    <w:rsid w:val="38EB1945"/>
    <w:rsid w:val="39BF445A"/>
    <w:rsid w:val="3A6511DD"/>
    <w:rsid w:val="3AFD5D95"/>
    <w:rsid w:val="3BE13F44"/>
    <w:rsid w:val="3C95598D"/>
    <w:rsid w:val="3D5B6F54"/>
    <w:rsid w:val="3E1C5A33"/>
    <w:rsid w:val="3EF20030"/>
    <w:rsid w:val="3F114001"/>
    <w:rsid w:val="3FAE2961"/>
    <w:rsid w:val="406311E6"/>
    <w:rsid w:val="41760419"/>
    <w:rsid w:val="431F4D4F"/>
    <w:rsid w:val="438837D9"/>
    <w:rsid w:val="43DC0574"/>
    <w:rsid w:val="454C1AE2"/>
    <w:rsid w:val="45575091"/>
    <w:rsid w:val="4594217C"/>
    <w:rsid w:val="45ED50AE"/>
    <w:rsid w:val="4BB84B51"/>
    <w:rsid w:val="4CEA4EB7"/>
    <w:rsid w:val="4CF92B3A"/>
    <w:rsid w:val="4D700BFA"/>
    <w:rsid w:val="4D9D560B"/>
    <w:rsid w:val="4E43799C"/>
    <w:rsid w:val="4FA530B6"/>
    <w:rsid w:val="51554C51"/>
    <w:rsid w:val="53B75002"/>
    <w:rsid w:val="54DA7DFE"/>
    <w:rsid w:val="55D42C37"/>
    <w:rsid w:val="56144AF8"/>
    <w:rsid w:val="56A5110D"/>
    <w:rsid w:val="56E52C16"/>
    <w:rsid w:val="56EC4D50"/>
    <w:rsid w:val="57FB0104"/>
    <w:rsid w:val="59137E51"/>
    <w:rsid w:val="5A4004B1"/>
    <w:rsid w:val="5C6D2A7B"/>
    <w:rsid w:val="5CBC7485"/>
    <w:rsid w:val="5DDF69C7"/>
    <w:rsid w:val="5EEC2920"/>
    <w:rsid w:val="5FD65299"/>
    <w:rsid w:val="616E5D6A"/>
    <w:rsid w:val="61C0086B"/>
    <w:rsid w:val="6212293B"/>
    <w:rsid w:val="623201C7"/>
    <w:rsid w:val="65A672FB"/>
    <w:rsid w:val="67BD501D"/>
    <w:rsid w:val="695069D3"/>
    <w:rsid w:val="69CD5AF5"/>
    <w:rsid w:val="6B3B233C"/>
    <w:rsid w:val="6B8C0BB6"/>
    <w:rsid w:val="6D991A73"/>
    <w:rsid w:val="6E1041EB"/>
    <w:rsid w:val="70396581"/>
    <w:rsid w:val="71D335A4"/>
    <w:rsid w:val="734A3ED0"/>
    <w:rsid w:val="736C7A85"/>
    <w:rsid w:val="73785000"/>
    <w:rsid w:val="73CD16DE"/>
    <w:rsid w:val="73E936A6"/>
    <w:rsid w:val="74141E30"/>
    <w:rsid w:val="74A84C94"/>
    <w:rsid w:val="758F2BC0"/>
    <w:rsid w:val="786E32CF"/>
    <w:rsid w:val="78851A96"/>
    <w:rsid w:val="79683437"/>
    <w:rsid w:val="79F93A46"/>
    <w:rsid w:val="7B5630D4"/>
    <w:rsid w:val="7BC365CD"/>
    <w:rsid w:val="7D0E0B12"/>
    <w:rsid w:val="7D950ADF"/>
    <w:rsid w:val="7DCF4229"/>
    <w:rsid w:val="7E7E276B"/>
    <w:rsid w:val="7F2F1CB8"/>
    <w:rsid w:val="7F4703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ocked="1"/>
    <w:lsdException w:qFormat="1" w:unhideWhenUsed="0" w:uiPriority="99" w:semiHidden="0" w:name="heading 3"/>
    <w:lsdException w:qFormat="1" w:unhideWhenUsed="0" w:uiPriority="0"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99" w:name="footnote text" w:locked="1"/>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35"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qFormat="1" w:unhideWhenUsed="0" w:uiPriority="99" w:name="Body Text First Indent"/>
    <w:lsdException w:qFormat="1"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84"/>
    <w:unhideWhenUsed/>
    <w:qFormat/>
    <w:locked/>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9"/>
    <w:pPr>
      <w:keepNext/>
      <w:keepLines/>
      <w:widowControl/>
      <w:spacing w:before="260" w:after="260" w:line="416" w:lineRule="auto"/>
      <w:ind w:firstLine="360"/>
      <w:jc w:val="left"/>
      <w:outlineLvl w:val="2"/>
    </w:pPr>
    <w:rPr>
      <w:rFonts w:ascii="Calibri" w:hAnsi="Calibri"/>
      <w:b/>
      <w:bCs/>
      <w:kern w:val="0"/>
      <w:sz w:val="32"/>
      <w:szCs w:val="32"/>
    </w:rPr>
  </w:style>
  <w:style w:type="paragraph" w:styleId="5">
    <w:name w:val="heading 4"/>
    <w:basedOn w:val="1"/>
    <w:next w:val="1"/>
    <w:link w:val="85"/>
    <w:qFormat/>
    <w:locked/>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locked/>
    <w:uiPriority w:val="0"/>
    <w:pPr>
      <w:spacing w:line="480" w:lineRule="exact"/>
      <w:ind w:firstLine="200" w:firstLineChars="200"/>
    </w:pPr>
    <w:rPr>
      <w:rFonts w:eastAsia="仿宋_GB2312"/>
      <w:sz w:val="28"/>
    </w:rPr>
  </w:style>
  <w:style w:type="paragraph" w:styleId="7">
    <w:name w:val="caption"/>
    <w:basedOn w:val="1"/>
    <w:next w:val="1"/>
    <w:qFormat/>
    <w:uiPriority w:val="35"/>
    <w:rPr>
      <w:rFonts w:ascii="Cambria" w:hAnsi="Cambria" w:eastAsia="黑体"/>
      <w:sz w:val="20"/>
      <w:szCs w:val="20"/>
    </w:rPr>
  </w:style>
  <w:style w:type="paragraph" w:styleId="8">
    <w:name w:val="Document Map"/>
    <w:basedOn w:val="1"/>
    <w:link w:val="83"/>
    <w:semiHidden/>
    <w:qFormat/>
    <w:locked/>
    <w:uiPriority w:val="99"/>
    <w:pPr>
      <w:shd w:val="clear" w:color="auto" w:fill="000080"/>
    </w:pPr>
  </w:style>
  <w:style w:type="paragraph" w:styleId="9">
    <w:name w:val="annotation text"/>
    <w:basedOn w:val="1"/>
    <w:link w:val="54"/>
    <w:qFormat/>
    <w:uiPriority w:val="0"/>
    <w:pPr>
      <w:jc w:val="left"/>
    </w:pPr>
  </w:style>
  <w:style w:type="paragraph" w:styleId="10">
    <w:name w:val="Body Text"/>
    <w:basedOn w:val="1"/>
    <w:link w:val="58"/>
    <w:semiHidden/>
    <w:qFormat/>
    <w:uiPriority w:val="99"/>
    <w:pPr>
      <w:spacing w:after="120"/>
    </w:pPr>
  </w:style>
  <w:style w:type="paragraph" w:styleId="11">
    <w:name w:val="Body Text Indent"/>
    <w:basedOn w:val="1"/>
    <w:link w:val="56"/>
    <w:qFormat/>
    <w:uiPriority w:val="99"/>
    <w:pPr>
      <w:autoSpaceDE w:val="0"/>
      <w:autoSpaceDN w:val="0"/>
      <w:adjustRightInd w:val="0"/>
      <w:spacing w:line="504" w:lineRule="exact"/>
      <w:ind w:firstLine="480"/>
    </w:pPr>
    <w:rPr>
      <w:kern w:val="0"/>
      <w:sz w:val="24"/>
      <w:szCs w:val="20"/>
    </w:rPr>
  </w:style>
  <w:style w:type="paragraph" w:styleId="12">
    <w:name w:val="toc 3"/>
    <w:basedOn w:val="1"/>
    <w:next w:val="1"/>
    <w:qFormat/>
    <w:uiPriority w:val="39"/>
    <w:pPr>
      <w:ind w:left="840" w:leftChars="400"/>
    </w:pPr>
  </w:style>
  <w:style w:type="paragraph" w:styleId="13">
    <w:name w:val="Date"/>
    <w:basedOn w:val="1"/>
    <w:next w:val="1"/>
    <w:link w:val="80"/>
    <w:semiHidden/>
    <w:qFormat/>
    <w:uiPriority w:val="99"/>
    <w:pPr>
      <w:ind w:left="100" w:leftChars="2500"/>
    </w:pPr>
  </w:style>
  <w:style w:type="paragraph" w:styleId="14">
    <w:name w:val="Body Text Indent 2"/>
    <w:basedOn w:val="1"/>
    <w:link w:val="92"/>
    <w:qFormat/>
    <w:locked/>
    <w:uiPriority w:val="0"/>
    <w:pPr>
      <w:spacing w:after="120" w:line="480" w:lineRule="auto"/>
      <w:ind w:left="420" w:leftChars="200"/>
    </w:pPr>
  </w:style>
  <w:style w:type="paragraph" w:styleId="15">
    <w:name w:val="Balloon Text"/>
    <w:basedOn w:val="1"/>
    <w:link w:val="31"/>
    <w:qFormat/>
    <w:uiPriority w:val="99"/>
    <w:pPr>
      <w:widowControl/>
      <w:ind w:firstLine="360"/>
      <w:jc w:val="left"/>
    </w:pPr>
    <w:rPr>
      <w:rFonts w:ascii="Calibri" w:hAnsi="Calibri"/>
      <w:kern w:val="0"/>
      <w:sz w:val="18"/>
      <w:szCs w:val="18"/>
    </w:rPr>
  </w:style>
  <w:style w:type="paragraph" w:styleId="16">
    <w:name w:val="footer"/>
    <w:basedOn w:val="1"/>
    <w:link w:val="32"/>
    <w:qFormat/>
    <w:uiPriority w:val="99"/>
    <w:pPr>
      <w:tabs>
        <w:tab w:val="center" w:pos="4153"/>
        <w:tab w:val="right" w:pos="8306"/>
      </w:tabs>
      <w:snapToGrid w:val="0"/>
      <w:jc w:val="left"/>
    </w:pPr>
    <w:rPr>
      <w:kern w:val="0"/>
      <w:sz w:val="18"/>
      <w:szCs w:val="18"/>
    </w:rPr>
  </w:style>
  <w:style w:type="paragraph" w:styleId="17">
    <w:name w:val="header"/>
    <w:basedOn w:val="1"/>
    <w:link w:val="33"/>
    <w:qFormat/>
    <w:uiPriority w:val="99"/>
    <w:pPr>
      <w:widowControl/>
      <w:tabs>
        <w:tab w:val="center" w:pos="4153"/>
        <w:tab w:val="right" w:pos="8306"/>
      </w:tabs>
      <w:snapToGrid w:val="0"/>
      <w:ind w:firstLine="360"/>
      <w:jc w:val="center"/>
    </w:pPr>
    <w:rPr>
      <w:rFonts w:ascii="Calibri" w:hAnsi="Calibri"/>
      <w:kern w:val="0"/>
      <w:sz w:val="18"/>
      <w:szCs w:val="18"/>
    </w:rPr>
  </w:style>
  <w:style w:type="paragraph" w:styleId="18">
    <w:name w:val="toc 1"/>
    <w:basedOn w:val="1"/>
    <w:next w:val="1"/>
    <w:qFormat/>
    <w:uiPriority w:val="39"/>
    <w:pPr>
      <w:tabs>
        <w:tab w:val="right" w:leader="dot" w:pos="9241"/>
      </w:tabs>
      <w:spacing w:beforeLines="25" w:afterLines="25"/>
      <w:jc w:val="left"/>
    </w:pPr>
    <w:rPr>
      <w:rFonts w:ascii="宋体"/>
      <w:szCs w:val="21"/>
    </w:rPr>
  </w:style>
  <w:style w:type="paragraph" w:styleId="19">
    <w:name w:val="toc 2"/>
    <w:basedOn w:val="1"/>
    <w:next w:val="1"/>
    <w:qFormat/>
    <w:uiPriority w:val="3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1">
    <w:name w:val="Body Text First Indent"/>
    <w:basedOn w:val="10"/>
    <w:link w:val="59"/>
    <w:semiHidden/>
    <w:qFormat/>
    <w:uiPriority w:val="99"/>
    <w:pPr>
      <w:ind w:firstLine="420" w:firstLineChars="100"/>
    </w:pPr>
  </w:style>
  <w:style w:type="paragraph" w:styleId="22">
    <w:name w:val="Body Text First Indent 2"/>
    <w:basedOn w:val="11"/>
    <w:unhideWhenUsed/>
    <w:qFormat/>
    <w:locked/>
    <w:uiPriority w:val="99"/>
    <w:pPr>
      <w:ind w:firstLine="420" w:firstLineChars="200"/>
    </w:pPr>
  </w:style>
  <w:style w:type="table" w:styleId="24">
    <w:name w:val="Table Grid"/>
    <w:basedOn w:val="2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6">
    <w:name w:val="Strong"/>
    <w:qFormat/>
    <w:locked/>
    <w:uiPriority w:val="22"/>
    <w:rPr>
      <w:b/>
      <w:bCs/>
    </w:rPr>
  </w:style>
  <w:style w:type="character" w:styleId="27">
    <w:name w:val="Hyperlink"/>
    <w:basedOn w:val="25"/>
    <w:qFormat/>
    <w:uiPriority w:val="99"/>
    <w:rPr>
      <w:rFonts w:cs="Times New Roman"/>
      <w:color w:val="0000FF"/>
      <w:spacing w:val="0"/>
      <w:w w:val="100"/>
      <w:sz w:val="21"/>
      <w:u w:val="single"/>
    </w:rPr>
  </w:style>
  <w:style w:type="character" w:styleId="28">
    <w:name w:val="annotation reference"/>
    <w:basedOn w:val="25"/>
    <w:semiHidden/>
    <w:unhideWhenUsed/>
    <w:qFormat/>
    <w:locked/>
    <w:uiPriority w:val="99"/>
    <w:rPr>
      <w:sz w:val="21"/>
      <w:szCs w:val="21"/>
    </w:rPr>
  </w:style>
  <w:style w:type="character" w:customStyle="1" w:styleId="29">
    <w:name w:val="标题 1 Char"/>
    <w:basedOn w:val="25"/>
    <w:link w:val="2"/>
    <w:qFormat/>
    <w:locked/>
    <w:uiPriority w:val="9"/>
    <w:rPr>
      <w:rFonts w:cs="Times New Roman"/>
      <w:b/>
      <w:bCs/>
      <w:kern w:val="44"/>
      <w:sz w:val="44"/>
      <w:szCs w:val="44"/>
    </w:rPr>
  </w:style>
  <w:style w:type="character" w:customStyle="1" w:styleId="30">
    <w:name w:val="标题 3 Char"/>
    <w:basedOn w:val="25"/>
    <w:link w:val="4"/>
    <w:qFormat/>
    <w:locked/>
    <w:uiPriority w:val="99"/>
    <w:rPr>
      <w:rFonts w:ascii="Calibri" w:hAnsi="Calibri" w:eastAsia="宋体" w:cs="Times New Roman"/>
      <w:b/>
      <w:kern w:val="0"/>
      <w:sz w:val="32"/>
    </w:rPr>
  </w:style>
  <w:style w:type="character" w:customStyle="1" w:styleId="31">
    <w:name w:val="批注框文本 Char"/>
    <w:basedOn w:val="25"/>
    <w:link w:val="15"/>
    <w:qFormat/>
    <w:locked/>
    <w:uiPriority w:val="99"/>
    <w:rPr>
      <w:rFonts w:ascii="Calibri" w:hAnsi="Calibri" w:eastAsia="宋体" w:cs="Times New Roman"/>
      <w:kern w:val="0"/>
      <w:sz w:val="18"/>
    </w:rPr>
  </w:style>
  <w:style w:type="character" w:customStyle="1" w:styleId="32">
    <w:name w:val="页脚 Char"/>
    <w:basedOn w:val="25"/>
    <w:link w:val="16"/>
    <w:qFormat/>
    <w:locked/>
    <w:uiPriority w:val="99"/>
    <w:rPr>
      <w:rFonts w:ascii="Times New Roman" w:hAnsi="Times New Roman" w:eastAsia="宋体" w:cs="Times New Roman"/>
      <w:sz w:val="18"/>
    </w:rPr>
  </w:style>
  <w:style w:type="character" w:customStyle="1" w:styleId="33">
    <w:name w:val="页眉 Char"/>
    <w:basedOn w:val="25"/>
    <w:link w:val="17"/>
    <w:qFormat/>
    <w:locked/>
    <w:uiPriority w:val="99"/>
    <w:rPr>
      <w:rFonts w:ascii="Calibri" w:hAnsi="Calibri" w:eastAsia="宋体" w:cs="Times New Roman"/>
      <w:kern w:val="0"/>
      <w:sz w:val="18"/>
    </w:rPr>
  </w:style>
  <w:style w:type="paragraph" w:customStyle="1" w:styleId="34">
    <w:name w:val="段"/>
    <w:link w:val="4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2"/>
      <w:szCs w:val="22"/>
      <w:lang w:val="en-US" w:eastAsia="zh-CN" w:bidi="ar-SA"/>
    </w:rPr>
  </w:style>
  <w:style w:type="paragraph" w:customStyle="1" w:styleId="35">
    <w:name w:val="一级条标题"/>
    <w:next w:val="34"/>
    <w:qFormat/>
    <w:uiPriority w:val="99"/>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6">
    <w:name w:val="章标题"/>
    <w:next w:val="34"/>
    <w:link w:val="50"/>
    <w:qFormat/>
    <w:uiPriority w:val="99"/>
    <w:pPr>
      <w:numPr>
        <w:ilvl w:val="0"/>
        <w:numId w:val="1"/>
      </w:numPr>
      <w:spacing w:beforeLines="100" w:afterLines="100"/>
      <w:ind w:left="142"/>
      <w:jc w:val="both"/>
      <w:outlineLvl w:val="1"/>
    </w:pPr>
    <w:rPr>
      <w:rFonts w:ascii="黑体" w:hAnsi="Times New Roman" w:eastAsia="黑体" w:cs="Times New Roman"/>
      <w:sz w:val="21"/>
      <w:lang w:val="en-US" w:eastAsia="zh-CN" w:bidi="ar-SA"/>
    </w:rPr>
  </w:style>
  <w:style w:type="paragraph" w:customStyle="1" w:styleId="37">
    <w:name w:val="二级条标题"/>
    <w:basedOn w:val="35"/>
    <w:next w:val="34"/>
    <w:qFormat/>
    <w:uiPriority w:val="99"/>
    <w:pPr>
      <w:numPr>
        <w:ilvl w:val="2"/>
      </w:numPr>
      <w:spacing w:before="50" w:after="50"/>
      <w:ind w:left="852"/>
      <w:outlineLvl w:val="3"/>
    </w:pPr>
  </w:style>
  <w:style w:type="paragraph" w:customStyle="1" w:styleId="38">
    <w:name w:val="目次、标准名称标题"/>
    <w:basedOn w:val="1"/>
    <w:next w:val="34"/>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39">
    <w:name w:val="三级条标题"/>
    <w:basedOn w:val="37"/>
    <w:next w:val="34"/>
    <w:qFormat/>
    <w:uiPriority w:val="99"/>
    <w:pPr>
      <w:numPr>
        <w:ilvl w:val="3"/>
      </w:numPr>
      <w:ind w:left="2520" w:hanging="420"/>
      <w:outlineLvl w:val="4"/>
    </w:pPr>
  </w:style>
  <w:style w:type="paragraph" w:customStyle="1" w:styleId="40">
    <w:name w:val="数字编号列项（二级）"/>
    <w:qFormat/>
    <w:uiPriority w:val="99"/>
    <w:pPr>
      <w:numPr>
        <w:ilvl w:val="1"/>
        <w:numId w:val="2"/>
      </w:numPr>
      <w:tabs>
        <w:tab w:val="left" w:pos="840"/>
      </w:tabs>
      <w:jc w:val="both"/>
    </w:pPr>
    <w:rPr>
      <w:rFonts w:ascii="宋体" w:hAnsi="Times New Roman" w:eastAsia="宋体" w:cs="Times New Roman"/>
      <w:sz w:val="21"/>
      <w:lang w:val="en-US" w:eastAsia="zh-CN" w:bidi="ar-SA"/>
    </w:rPr>
  </w:style>
  <w:style w:type="paragraph" w:customStyle="1" w:styleId="41">
    <w:name w:val="四级条标题"/>
    <w:basedOn w:val="39"/>
    <w:next w:val="34"/>
    <w:qFormat/>
    <w:uiPriority w:val="99"/>
    <w:pPr>
      <w:numPr>
        <w:ilvl w:val="4"/>
      </w:numPr>
      <w:ind w:left="0" w:firstLine="0"/>
      <w:outlineLvl w:val="5"/>
    </w:pPr>
  </w:style>
  <w:style w:type="paragraph" w:customStyle="1" w:styleId="42">
    <w:name w:val="五级条标题"/>
    <w:basedOn w:val="41"/>
    <w:next w:val="34"/>
    <w:qFormat/>
    <w:uiPriority w:val="99"/>
    <w:pPr>
      <w:numPr>
        <w:ilvl w:val="5"/>
      </w:numPr>
      <w:outlineLvl w:val="6"/>
    </w:pPr>
  </w:style>
  <w:style w:type="paragraph" w:customStyle="1" w:styleId="43">
    <w:name w:val="字母编号列项（一级）"/>
    <w:qFormat/>
    <w:uiPriority w:val="99"/>
    <w:pPr>
      <w:numPr>
        <w:ilvl w:val="0"/>
        <w:numId w:val="2"/>
      </w:numPr>
      <w:jc w:val="both"/>
    </w:pPr>
    <w:rPr>
      <w:rFonts w:ascii="宋体" w:hAnsi="Times New Roman" w:eastAsia="宋体" w:cs="Times New Roman"/>
      <w:sz w:val="21"/>
      <w:lang w:val="en-US" w:eastAsia="zh-CN" w:bidi="ar-SA"/>
    </w:rPr>
  </w:style>
  <w:style w:type="paragraph" w:customStyle="1" w:styleId="44">
    <w:name w:val="编号列项（三级）"/>
    <w:qFormat/>
    <w:uiPriority w:val="99"/>
    <w:pPr>
      <w:numPr>
        <w:ilvl w:val="2"/>
        <w:numId w:val="2"/>
      </w:numPr>
      <w:tabs>
        <w:tab w:val="left" w:pos="840"/>
      </w:tabs>
    </w:pPr>
    <w:rPr>
      <w:rFonts w:ascii="宋体" w:hAnsi="Times New Roman" w:eastAsia="宋体" w:cs="Times New Roman"/>
      <w:sz w:val="21"/>
      <w:lang w:val="en-US" w:eastAsia="zh-CN" w:bidi="ar-SA"/>
    </w:rPr>
  </w:style>
  <w:style w:type="paragraph" w:customStyle="1" w:styleId="45">
    <w:name w:val="二级无"/>
    <w:basedOn w:val="37"/>
    <w:qFormat/>
    <w:uiPriority w:val="99"/>
    <w:pPr>
      <w:spacing w:beforeLines="0" w:afterLines="0"/>
    </w:pPr>
    <w:rPr>
      <w:rFonts w:ascii="宋体" w:eastAsia="宋体"/>
    </w:rPr>
  </w:style>
  <w:style w:type="paragraph" w:customStyle="1" w:styleId="46">
    <w:name w:val="三级无"/>
    <w:basedOn w:val="39"/>
    <w:qFormat/>
    <w:uiPriority w:val="99"/>
    <w:pPr>
      <w:spacing w:beforeLines="0" w:afterLines="0"/>
    </w:pPr>
    <w:rPr>
      <w:rFonts w:ascii="宋体" w:eastAsia="宋体"/>
    </w:rPr>
  </w:style>
  <w:style w:type="paragraph" w:customStyle="1" w:styleId="47">
    <w:name w:val="列出段落1"/>
    <w:basedOn w:val="1"/>
    <w:qFormat/>
    <w:uiPriority w:val="0"/>
    <w:pPr>
      <w:ind w:firstLine="420" w:firstLineChars="200"/>
    </w:pPr>
  </w:style>
  <w:style w:type="character" w:customStyle="1" w:styleId="48">
    <w:name w:val="段 Char"/>
    <w:link w:val="34"/>
    <w:qFormat/>
    <w:locked/>
    <w:uiPriority w:val="0"/>
    <w:rPr>
      <w:rFonts w:ascii="宋体"/>
      <w:kern w:val="2"/>
      <w:sz w:val="22"/>
      <w:szCs w:val="22"/>
      <w:lang w:val="en-US" w:eastAsia="zh-CN" w:bidi="ar-SA"/>
    </w:rPr>
  </w:style>
  <w:style w:type="paragraph" w:customStyle="1" w:styleId="49">
    <w:name w:val="样式1"/>
    <w:basedOn w:val="36"/>
    <w:link w:val="51"/>
    <w:qFormat/>
    <w:uiPriority w:val="99"/>
  </w:style>
  <w:style w:type="character" w:customStyle="1" w:styleId="50">
    <w:name w:val="章标题 Char"/>
    <w:basedOn w:val="25"/>
    <w:link w:val="36"/>
    <w:qFormat/>
    <w:locked/>
    <w:uiPriority w:val="99"/>
    <w:rPr>
      <w:rFonts w:ascii="黑体" w:eastAsia="黑体"/>
      <w:sz w:val="21"/>
      <w:lang w:val="en-US" w:eastAsia="zh-CN" w:bidi="ar-SA"/>
    </w:rPr>
  </w:style>
  <w:style w:type="character" w:customStyle="1" w:styleId="51">
    <w:name w:val="样式1 Char"/>
    <w:basedOn w:val="50"/>
    <w:link w:val="49"/>
    <w:qFormat/>
    <w:locked/>
    <w:uiPriority w:val="99"/>
  </w:style>
  <w:style w:type="paragraph" w:customStyle="1" w:styleId="52">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styleId="53">
    <w:name w:val="List Paragraph"/>
    <w:basedOn w:val="1"/>
    <w:qFormat/>
    <w:uiPriority w:val="34"/>
    <w:pPr>
      <w:ind w:firstLine="420" w:firstLineChars="200"/>
    </w:pPr>
    <w:rPr>
      <w:rFonts w:ascii="Calibri" w:hAnsi="Calibri"/>
      <w:szCs w:val="22"/>
    </w:rPr>
  </w:style>
  <w:style w:type="character" w:customStyle="1" w:styleId="54">
    <w:name w:val="批注文字 Char"/>
    <w:basedOn w:val="25"/>
    <w:link w:val="9"/>
    <w:qFormat/>
    <w:locked/>
    <w:uiPriority w:val="0"/>
    <w:rPr>
      <w:rFonts w:cs="Times New Roman"/>
      <w:kern w:val="2"/>
      <w:sz w:val="24"/>
      <w:szCs w:val="24"/>
    </w:rPr>
  </w:style>
  <w:style w:type="character" w:customStyle="1" w:styleId="55">
    <w:name w:val="Body Text Indent Char"/>
    <w:qFormat/>
    <w:locked/>
    <w:uiPriority w:val="99"/>
    <w:rPr>
      <w:sz w:val="24"/>
    </w:rPr>
  </w:style>
  <w:style w:type="character" w:customStyle="1" w:styleId="56">
    <w:name w:val="正文文本缩进 Char"/>
    <w:basedOn w:val="25"/>
    <w:link w:val="11"/>
    <w:semiHidden/>
    <w:qFormat/>
    <w:locked/>
    <w:uiPriority w:val="99"/>
    <w:rPr>
      <w:rFonts w:cs="Times New Roman"/>
      <w:sz w:val="24"/>
      <w:szCs w:val="24"/>
    </w:rPr>
  </w:style>
  <w:style w:type="character" w:customStyle="1" w:styleId="57">
    <w:name w:val="正文文本缩进 Char1"/>
    <w:basedOn w:val="25"/>
    <w:semiHidden/>
    <w:qFormat/>
    <w:uiPriority w:val="99"/>
    <w:rPr>
      <w:rFonts w:cs="Times New Roman"/>
      <w:kern w:val="2"/>
      <w:sz w:val="24"/>
      <w:szCs w:val="24"/>
    </w:rPr>
  </w:style>
  <w:style w:type="character" w:customStyle="1" w:styleId="58">
    <w:name w:val="正文文本 Char"/>
    <w:basedOn w:val="25"/>
    <w:link w:val="10"/>
    <w:semiHidden/>
    <w:qFormat/>
    <w:locked/>
    <w:uiPriority w:val="99"/>
    <w:rPr>
      <w:rFonts w:cs="Times New Roman"/>
      <w:kern w:val="2"/>
      <w:sz w:val="24"/>
      <w:szCs w:val="24"/>
    </w:rPr>
  </w:style>
  <w:style w:type="character" w:customStyle="1" w:styleId="59">
    <w:name w:val="正文首行缩进 Char"/>
    <w:basedOn w:val="58"/>
    <w:link w:val="21"/>
    <w:semiHidden/>
    <w:qFormat/>
    <w:locked/>
    <w:uiPriority w:val="99"/>
  </w:style>
  <w:style w:type="paragraph" w:customStyle="1" w:styleId="60">
    <w:name w:val="插入表格"/>
    <w:next w:val="1"/>
    <w:qFormat/>
    <w:uiPriority w:val="99"/>
    <w:pPr>
      <w:widowControl w:val="0"/>
      <w:adjustRightInd w:val="0"/>
      <w:spacing w:before="120" w:after="120"/>
      <w:jc w:val="center"/>
    </w:pPr>
    <w:rPr>
      <w:rFonts w:ascii="Times New Roman" w:hAnsi="Times New Roman" w:eastAsia="宋体" w:cs="Times New Roman"/>
      <w:sz w:val="21"/>
      <w:lang w:val="en-US" w:eastAsia="zh-CN" w:bidi="ar-SA"/>
    </w:rPr>
  </w:style>
  <w:style w:type="paragraph" w:customStyle="1" w:styleId="61">
    <w:name w:val="YL正文"/>
    <w:basedOn w:val="1"/>
    <w:link w:val="62"/>
    <w:qFormat/>
    <w:uiPriority w:val="99"/>
    <w:pPr>
      <w:spacing w:line="300" w:lineRule="auto"/>
      <w:ind w:firstLine="200" w:firstLineChars="200"/>
    </w:pPr>
    <w:rPr>
      <w:rFonts w:ascii="仿宋" w:hAnsi="仿宋"/>
      <w:color w:val="000000"/>
      <w:sz w:val="24"/>
    </w:rPr>
  </w:style>
  <w:style w:type="character" w:customStyle="1" w:styleId="62">
    <w:name w:val="YL正文 Char"/>
    <w:basedOn w:val="25"/>
    <w:link w:val="61"/>
    <w:qFormat/>
    <w:locked/>
    <w:uiPriority w:val="99"/>
    <w:rPr>
      <w:rFonts w:ascii="仿宋" w:hAnsi="仿宋" w:eastAsia="宋体" w:cs="Times New Roman"/>
      <w:color w:val="000000"/>
      <w:kern w:val="2"/>
      <w:sz w:val="24"/>
      <w:szCs w:val="24"/>
    </w:rPr>
  </w:style>
  <w:style w:type="paragraph" w:customStyle="1" w:styleId="63">
    <w:name w:val="YL表头"/>
    <w:basedOn w:val="7"/>
    <w:link w:val="65"/>
    <w:qFormat/>
    <w:uiPriority w:val="0"/>
    <w:pPr>
      <w:spacing w:beforeLines="30" w:afterLines="20"/>
      <w:jc w:val="center"/>
    </w:pPr>
    <w:rPr>
      <w:rFonts w:eastAsia="宋体"/>
      <w:b/>
      <w:sz w:val="21"/>
    </w:rPr>
  </w:style>
  <w:style w:type="paragraph" w:customStyle="1" w:styleId="64">
    <w:name w:val="YL图内容"/>
    <w:basedOn w:val="1"/>
    <w:link w:val="66"/>
    <w:qFormat/>
    <w:uiPriority w:val="99"/>
    <w:pPr>
      <w:spacing w:line="264" w:lineRule="auto"/>
      <w:jc w:val="center"/>
    </w:pPr>
    <w:rPr>
      <w:rFonts w:ascii="仿宋" w:hAnsi="仿宋"/>
      <w:color w:val="000000"/>
    </w:rPr>
  </w:style>
  <w:style w:type="character" w:customStyle="1" w:styleId="65">
    <w:name w:val="YL表头 Char"/>
    <w:basedOn w:val="25"/>
    <w:link w:val="63"/>
    <w:qFormat/>
    <w:locked/>
    <w:uiPriority w:val="0"/>
    <w:rPr>
      <w:rFonts w:ascii="Cambria" w:hAnsi="Cambria" w:eastAsia="宋体" w:cs="Times New Roman"/>
      <w:b/>
      <w:kern w:val="2"/>
      <w:sz w:val="21"/>
    </w:rPr>
  </w:style>
  <w:style w:type="character" w:customStyle="1" w:styleId="66">
    <w:name w:val="YL图内容 Char"/>
    <w:basedOn w:val="25"/>
    <w:link w:val="64"/>
    <w:qFormat/>
    <w:locked/>
    <w:uiPriority w:val="99"/>
    <w:rPr>
      <w:rFonts w:ascii="仿宋" w:hAnsi="仿宋" w:eastAsia="宋体" w:cs="Times New Roman"/>
      <w:color w:val="000000"/>
      <w:kern w:val="2"/>
      <w:sz w:val="24"/>
      <w:szCs w:val="24"/>
    </w:rPr>
  </w:style>
  <w:style w:type="paragraph" w:customStyle="1" w:styleId="67">
    <w:name w:val="YL四级"/>
    <w:basedOn w:val="1"/>
    <w:link w:val="68"/>
    <w:qFormat/>
    <w:uiPriority w:val="99"/>
    <w:pPr>
      <w:spacing w:beforeLines="50" w:afterLines="50"/>
      <w:ind w:firstLine="200" w:firstLineChars="200"/>
      <w:jc w:val="left"/>
      <w:outlineLvl w:val="3"/>
    </w:pPr>
    <w:rPr>
      <w:rFonts w:ascii="仿宋" w:hAnsi="仿宋"/>
      <w:b/>
      <w:color w:val="000000"/>
      <w:sz w:val="24"/>
    </w:rPr>
  </w:style>
  <w:style w:type="character" w:customStyle="1" w:styleId="68">
    <w:name w:val="YL四级 Char"/>
    <w:basedOn w:val="25"/>
    <w:link w:val="67"/>
    <w:qFormat/>
    <w:locked/>
    <w:uiPriority w:val="99"/>
    <w:rPr>
      <w:rFonts w:ascii="仿宋" w:hAnsi="仿宋" w:eastAsia="宋体" w:cs="Times New Roman"/>
      <w:b/>
      <w:color w:val="000000"/>
      <w:kern w:val="2"/>
      <w:sz w:val="24"/>
      <w:szCs w:val="24"/>
    </w:rPr>
  </w:style>
  <w:style w:type="paragraph" w:customStyle="1" w:styleId="69">
    <w:name w:val="YL六级"/>
    <w:basedOn w:val="1"/>
    <w:link w:val="70"/>
    <w:qFormat/>
    <w:uiPriority w:val="99"/>
    <w:pPr>
      <w:adjustRightInd w:val="0"/>
      <w:spacing w:beforeLines="50" w:afterLines="50"/>
      <w:ind w:firstLine="200" w:firstLineChars="200"/>
      <w:jc w:val="left"/>
      <w:outlineLvl w:val="5"/>
    </w:pPr>
    <w:rPr>
      <w:rFonts w:ascii="仿宋" w:hAnsi="仿宋"/>
      <w:b/>
      <w:color w:val="000000"/>
      <w:sz w:val="24"/>
    </w:rPr>
  </w:style>
  <w:style w:type="character" w:customStyle="1" w:styleId="70">
    <w:name w:val="YL六级 Char"/>
    <w:basedOn w:val="25"/>
    <w:link w:val="69"/>
    <w:qFormat/>
    <w:locked/>
    <w:uiPriority w:val="99"/>
    <w:rPr>
      <w:rFonts w:ascii="仿宋" w:hAnsi="仿宋" w:eastAsia="宋体" w:cs="Times New Roman"/>
      <w:b/>
      <w:color w:val="000000"/>
      <w:kern w:val="2"/>
      <w:sz w:val="24"/>
      <w:szCs w:val="24"/>
    </w:rPr>
  </w:style>
  <w:style w:type="paragraph" w:customStyle="1" w:styleId="71">
    <w:name w:val="YL五级"/>
    <w:basedOn w:val="1"/>
    <w:link w:val="72"/>
    <w:qFormat/>
    <w:uiPriority w:val="99"/>
    <w:pPr>
      <w:adjustRightInd w:val="0"/>
      <w:spacing w:beforeLines="50" w:afterLines="50"/>
      <w:ind w:firstLine="200" w:firstLineChars="200"/>
      <w:jc w:val="left"/>
      <w:outlineLvl w:val="4"/>
    </w:pPr>
    <w:rPr>
      <w:rFonts w:ascii="仿宋" w:hAnsi="仿宋"/>
      <w:b/>
      <w:color w:val="000000"/>
      <w:sz w:val="24"/>
    </w:rPr>
  </w:style>
  <w:style w:type="character" w:customStyle="1" w:styleId="72">
    <w:name w:val="YL五级 Char"/>
    <w:basedOn w:val="25"/>
    <w:link w:val="71"/>
    <w:qFormat/>
    <w:locked/>
    <w:uiPriority w:val="99"/>
    <w:rPr>
      <w:rFonts w:ascii="仿宋" w:hAnsi="仿宋" w:eastAsia="宋体" w:cs="Times New Roman"/>
      <w:b/>
      <w:color w:val="000000"/>
      <w:kern w:val="2"/>
      <w:sz w:val="24"/>
      <w:szCs w:val="24"/>
    </w:rPr>
  </w:style>
  <w:style w:type="paragraph" w:customStyle="1" w:styleId="73">
    <w:name w:val="YL二级"/>
    <w:basedOn w:val="1"/>
    <w:link w:val="75"/>
    <w:qFormat/>
    <w:uiPriority w:val="99"/>
    <w:pPr>
      <w:adjustRightInd w:val="0"/>
      <w:spacing w:beforeLines="50" w:afterLines="50"/>
      <w:jc w:val="left"/>
      <w:outlineLvl w:val="1"/>
    </w:pPr>
    <w:rPr>
      <w:rFonts w:ascii="宋体" w:hAnsi="宋体"/>
      <w:b/>
      <w:bCs/>
      <w:sz w:val="28"/>
    </w:rPr>
  </w:style>
  <w:style w:type="paragraph" w:customStyle="1" w:styleId="74">
    <w:name w:val="YL三级"/>
    <w:basedOn w:val="1"/>
    <w:link w:val="76"/>
    <w:qFormat/>
    <w:uiPriority w:val="99"/>
    <w:pPr>
      <w:adjustRightInd w:val="0"/>
      <w:spacing w:beforeLines="50" w:afterLines="50"/>
      <w:outlineLvl w:val="2"/>
    </w:pPr>
    <w:rPr>
      <w:rFonts w:ascii="宋体" w:hAnsi="宋体"/>
      <w:b/>
      <w:bCs/>
      <w:sz w:val="24"/>
    </w:rPr>
  </w:style>
  <w:style w:type="character" w:customStyle="1" w:styleId="75">
    <w:name w:val="YL二级 Char"/>
    <w:basedOn w:val="25"/>
    <w:link w:val="73"/>
    <w:qFormat/>
    <w:locked/>
    <w:uiPriority w:val="99"/>
    <w:rPr>
      <w:rFonts w:ascii="宋体" w:hAnsi="宋体" w:eastAsia="宋体" w:cs="Times New Roman"/>
      <w:b/>
      <w:bCs/>
      <w:kern w:val="2"/>
      <w:sz w:val="24"/>
      <w:szCs w:val="24"/>
    </w:rPr>
  </w:style>
  <w:style w:type="character" w:customStyle="1" w:styleId="76">
    <w:name w:val="YL三级 Char"/>
    <w:basedOn w:val="25"/>
    <w:link w:val="74"/>
    <w:qFormat/>
    <w:locked/>
    <w:uiPriority w:val="99"/>
    <w:rPr>
      <w:rFonts w:ascii="宋体" w:hAnsi="宋体" w:eastAsia="宋体" w:cs="Times New Roman"/>
      <w:b/>
      <w:bCs/>
      <w:kern w:val="2"/>
      <w:sz w:val="24"/>
      <w:szCs w:val="24"/>
    </w:rPr>
  </w:style>
  <w:style w:type="character" w:customStyle="1" w:styleId="77">
    <w:name w:val="apple-style-span"/>
    <w:basedOn w:val="25"/>
    <w:qFormat/>
    <w:uiPriority w:val="99"/>
    <w:rPr>
      <w:rFonts w:cs="Times New Roman"/>
    </w:rPr>
  </w:style>
  <w:style w:type="paragraph" w:customStyle="1" w:styleId="78">
    <w:name w:val="招股正文格式"/>
    <w:basedOn w:val="1"/>
    <w:link w:val="79"/>
    <w:qFormat/>
    <w:uiPriority w:val="99"/>
    <w:pPr>
      <w:spacing w:beforeLines="50" w:line="360" w:lineRule="auto"/>
      <w:ind w:firstLine="200" w:firstLineChars="200"/>
    </w:pPr>
    <w:rPr>
      <w:kern w:val="0"/>
      <w:sz w:val="24"/>
      <w:szCs w:val="20"/>
    </w:rPr>
  </w:style>
  <w:style w:type="character" w:customStyle="1" w:styleId="79">
    <w:name w:val="招股正文格式 Char"/>
    <w:link w:val="78"/>
    <w:qFormat/>
    <w:locked/>
    <w:uiPriority w:val="99"/>
    <w:rPr>
      <w:sz w:val="24"/>
    </w:rPr>
  </w:style>
  <w:style w:type="character" w:customStyle="1" w:styleId="80">
    <w:name w:val="日期 Char"/>
    <w:basedOn w:val="25"/>
    <w:link w:val="13"/>
    <w:semiHidden/>
    <w:qFormat/>
    <w:locked/>
    <w:uiPriority w:val="99"/>
    <w:rPr>
      <w:rFonts w:cs="Times New Roman"/>
      <w:sz w:val="24"/>
      <w:szCs w:val="24"/>
    </w:rPr>
  </w:style>
  <w:style w:type="paragraph" w:customStyle="1" w:styleId="81">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Char Char Char Char Char Char Char Char Char Char Char Char Char Char Char Char"/>
    <w:basedOn w:val="1"/>
    <w:qFormat/>
    <w:uiPriority w:val="99"/>
    <w:pPr>
      <w:tabs>
        <w:tab w:val="left" w:pos="360"/>
      </w:tabs>
    </w:pPr>
  </w:style>
  <w:style w:type="character" w:customStyle="1" w:styleId="83">
    <w:name w:val="文档结构图 Char"/>
    <w:basedOn w:val="25"/>
    <w:link w:val="8"/>
    <w:semiHidden/>
    <w:qFormat/>
    <w:locked/>
    <w:uiPriority w:val="99"/>
    <w:rPr>
      <w:rFonts w:cs="Times New Roman"/>
      <w:sz w:val="2"/>
    </w:rPr>
  </w:style>
  <w:style w:type="character" w:customStyle="1" w:styleId="84">
    <w:name w:val="标题 2 Char"/>
    <w:basedOn w:val="25"/>
    <w:link w:val="3"/>
    <w:semiHidden/>
    <w:qFormat/>
    <w:uiPriority w:val="9"/>
    <w:rPr>
      <w:rFonts w:ascii="Cambria" w:hAnsi="Cambria" w:eastAsia="宋体" w:cs="Times New Roman"/>
      <w:b/>
      <w:bCs/>
      <w:kern w:val="2"/>
      <w:sz w:val="32"/>
      <w:szCs w:val="32"/>
    </w:rPr>
  </w:style>
  <w:style w:type="character" w:customStyle="1" w:styleId="85">
    <w:name w:val="标题 4 Char"/>
    <w:basedOn w:val="25"/>
    <w:link w:val="5"/>
    <w:qFormat/>
    <w:uiPriority w:val="0"/>
    <w:rPr>
      <w:rFonts w:ascii="Arial" w:hAnsi="Arial" w:eastAsia="黑体"/>
      <w:b/>
      <w:bCs/>
      <w:kern w:val="2"/>
      <w:sz w:val="28"/>
      <w:szCs w:val="28"/>
    </w:rPr>
  </w:style>
  <w:style w:type="character" w:customStyle="1" w:styleId="86">
    <w:name w:val="表格内容 Char"/>
    <w:link w:val="87"/>
    <w:qFormat/>
    <w:uiPriority w:val="0"/>
    <w:rPr>
      <w:rFonts w:ascii="宋体" w:hAnsi="宋体"/>
      <w:spacing w:val="-2"/>
      <w:kern w:val="2"/>
      <w:sz w:val="21"/>
      <w:szCs w:val="18"/>
    </w:rPr>
  </w:style>
  <w:style w:type="paragraph" w:customStyle="1" w:styleId="87">
    <w:name w:val="表格内容"/>
    <w:basedOn w:val="1"/>
    <w:link w:val="86"/>
    <w:qFormat/>
    <w:uiPriority w:val="0"/>
    <w:pPr>
      <w:widowControl/>
      <w:spacing w:line="300" w:lineRule="auto"/>
      <w:jc w:val="left"/>
    </w:pPr>
    <w:rPr>
      <w:rFonts w:ascii="宋体" w:hAnsi="宋体"/>
      <w:spacing w:val="-2"/>
      <w:szCs w:val="18"/>
    </w:rPr>
  </w:style>
  <w:style w:type="character" w:customStyle="1" w:styleId="88">
    <w:name w:val="批注引用1"/>
    <w:qFormat/>
    <w:uiPriority w:val="0"/>
    <w:rPr>
      <w:sz w:val="21"/>
      <w:szCs w:val="21"/>
    </w:rPr>
  </w:style>
  <w:style w:type="character" w:customStyle="1" w:styleId="89">
    <w:name w:val="css031"/>
    <w:qFormat/>
    <w:uiPriority w:val="0"/>
    <w:rPr>
      <w:sz w:val="18"/>
      <w:szCs w:val="18"/>
    </w:rPr>
  </w:style>
  <w:style w:type="paragraph" w:customStyle="1" w:styleId="90">
    <w:name w:val="招股书正文"/>
    <w:basedOn w:val="1"/>
    <w:qFormat/>
    <w:uiPriority w:val="0"/>
    <w:pPr>
      <w:snapToGrid w:val="0"/>
      <w:spacing w:line="500" w:lineRule="exact"/>
      <w:ind w:right="-74" w:firstLine="200" w:firstLineChars="200"/>
    </w:pPr>
    <w:rPr>
      <w:rFonts w:ascii="宋体" w:hAnsi="宋体"/>
      <w:sz w:val="24"/>
    </w:rPr>
  </w:style>
  <w:style w:type="character" w:customStyle="1" w:styleId="91">
    <w:name w:val="正文文本缩进 2 Char"/>
    <w:link w:val="14"/>
    <w:qFormat/>
    <w:uiPriority w:val="0"/>
    <w:rPr>
      <w:kern w:val="2"/>
      <w:sz w:val="21"/>
      <w:szCs w:val="24"/>
    </w:rPr>
  </w:style>
  <w:style w:type="character" w:customStyle="1" w:styleId="92">
    <w:name w:val="正文文本缩进 2 Char1"/>
    <w:basedOn w:val="25"/>
    <w:link w:val="14"/>
    <w:semiHidden/>
    <w:qFormat/>
    <w:uiPriority w:val="99"/>
    <w:rPr>
      <w:kern w:val="2"/>
      <w:sz w:val="21"/>
      <w:szCs w:val="24"/>
    </w:rPr>
  </w:style>
  <w:style w:type="character" w:customStyle="1" w:styleId="93">
    <w:name w:val="样式7 Char"/>
    <w:link w:val="94"/>
    <w:qFormat/>
    <w:uiPriority w:val="0"/>
    <w:rPr>
      <w:kern w:val="2"/>
      <w:sz w:val="21"/>
      <w:szCs w:val="24"/>
    </w:rPr>
  </w:style>
  <w:style w:type="paragraph" w:customStyle="1" w:styleId="94">
    <w:name w:val="样式7"/>
    <w:basedOn w:val="1"/>
    <w:next w:val="1"/>
    <w:link w:val="93"/>
    <w:qFormat/>
    <w:uiPriority w:val="0"/>
    <w:pPr>
      <w:ind w:firstLine="200" w:firstLineChars="200"/>
      <w:jc w:val="left"/>
    </w:pPr>
  </w:style>
  <w:style w:type="character" w:customStyle="1" w:styleId="95">
    <w:name w:val="hei141"/>
    <w:qFormat/>
    <w:uiPriority w:val="0"/>
    <w:rPr>
      <w:rFonts w:hint="eastAsia" w:ascii="宋体" w:hAnsi="宋体" w:eastAsia="宋体"/>
      <w:color w:val="000000"/>
      <w:sz w:val="21"/>
      <w:szCs w:val="21"/>
      <w:u w:val="none"/>
    </w:rPr>
  </w:style>
  <w:style w:type="character" w:customStyle="1" w:styleId="96">
    <w:name w:val="样式3 Char Char"/>
    <w:link w:val="97"/>
    <w:qFormat/>
    <w:uiPriority w:val="0"/>
    <w:rPr>
      <w:rFonts w:ascii="宋体" w:hAnsi="宋体"/>
      <w:b/>
      <w:color w:val="000000"/>
      <w:kern w:val="2"/>
      <w:sz w:val="21"/>
      <w:szCs w:val="21"/>
    </w:rPr>
  </w:style>
  <w:style w:type="paragraph" w:customStyle="1" w:styleId="97">
    <w:name w:val="样式3"/>
    <w:basedOn w:val="1"/>
    <w:link w:val="96"/>
    <w:qFormat/>
    <w:uiPriority w:val="0"/>
    <w:pPr>
      <w:jc w:val="center"/>
    </w:pPr>
    <w:rPr>
      <w:rFonts w:ascii="宋体" w:hAnsi="宋体"/>
      <w:b/>
      <w:color w:val="000000"/>
      <w:szCs w:val="21"/>
    </w:rPr>
  </w:style>
  <w:style w:type="paragraph" w:customStyle="1" w:styleId="98">
    <w:name w:val="正文文本缩进1"/>
    <w:basedOn w:val="1"/>
    <w:qFormat/>
    <w:uiPriority w:val="0"/>
    <w:pPr>
      <w:spacing w:line="420" w:lineRule="exact"/>
      <w:ind w:firstLine="435"/>
    </w:pPr>
    <w:rPr>
      <w:szCs w:val="20"/>
    </w:rPr>
  </w:style>
  <w:style w:type="paragraph" w:customStyle="1" w:styleId="99">
    <w:name w:val="aSTL正文"/>
    <w:basedOn w:val="1"/>
    <w:link w:val="100"/>
    <w:qFormat/>
    <w:uiPriority w:val="0"/>
    <w:pPr>
      <w:spacing w:line="300" w:lineRule="auto"/>
      <w:ind w:firstLine="200" w:firstLineChars="200"/>
    </w:pPr>
    <w:rPr>
      <w:rFonts w:ascii="Calibri" w:hAnsi="Calibri"/>
      <w:kern w:val="0"/>
      <w:sz w:val="24"/>
      <w:szCs w:val="20"/>
    </w:rPr>
  </w:style>
  <w:style w:type="character" w:customStyle="1" w:styleId="100">
    <w:name w:val="aSTL正文 Char"/>
    <w:link w:val="99"/>
    <w:qFormat/>
    <w:uiPriority w:val="0"/>
    <w:rPr>
      <w:rFonts w:ascii="Calibri" w:hAnsi="Calibri"/>
      <w:sz w:val="24"/>
    </w:rPr>
  </w:style>
  <w:style w:type="paragraph" w:customStyle="1" w:styleId="101">
    <w:name w:val="4.7.2.1.1"/>
    <w:basedOn w:val="1"/>
    <w:link w:val="102"/>
    <w:qFormat/>
    <w:uiPriority w:val="0"/>
    <w:pPr>
      <w:tabs>
        <w:tab w:val="left" w:pos="142"/>
      </w:tabs>
      <w:spacing w:beforeLines="50" w:afterLines="50"/>
      <w:ind w:firstLine="200" w:firstLineChars="200"/>
      <w:jc w:val="left"/>
      <w:outlineLvl w:val="3"/>
    </w:pPr>
    <w:rPr>
      <w:rFonts w:ascii="宋体" w:hAnsi="宋体"/>
      <w:b/>
      <w:color w:val="000000"/>
      <w:kern w:val="0"/>
      <w:sz w:val="24"/>
    </w:rPr>
  </w:style>
  <w:style w:type="character" w:customStyle="1" w:styleId="102">
    <w:name w:val="4.7.2.1.1 Char"/>
    <w:link w:val="101"/>
    <w:qFormat/>
    <w:uiPriority w:val="0"/>
    <w:rPr>
      <w:rFonts w:ascii="宋体" w:hAnsi="宋体"/>
      <w:b/>
      <w:color w:val="000000"/>
      <w:sz w:val="24"/>
      <w:szCs w:val="24"/>
    </w:rPr>
  </w:style>
  <w:style w:type="character" w:customStyle="1" w:styleId="103">
    <w:name w:val="apple-converted-space"/>
    <w:basedOn w:val="25"/>
    <w:qFormat/>
    <w:uiPriority w:val="0"/>
  </w:style>
  <w:style w:type="character" w:customStyle="1" w:styleId="104">
    <w:name w:val="标题 2a"/>
    <w:qFormat/>
    <w:uiPriority w:val="0"/>
    <w:rPr>
      <w:rFonts w:ascii="Times New Roman" w:hAnsi="Times New Roman" w:eastAsia="宋体"/>
      <w:b/>
      <w:bCs/>
      <w:kern w:val="2"/>
      <w:sz w:val="24"/>
      <w:szCs w:val="24"/>
      <w:lang w:val="en-US" w:eastAsia="zh-CN" w:bidi="ar-SA"/>
    </w:rPr>
  </w:style>
  <w:style w:type="character" w:customStyle="1" w:styleId="105">
    <w:name w:val="XN图标 Char"/>
    <w:link w:val="106"/>
    <w:qFormat/>
    <w:uiPriority w:val="0"/>
    <w:rPr>
      <w:rFonts w:ascii="仿宋" w:hAnsi="仿宋" w:eastAsia="仿宋"/>
      <w:color w:val="000000"/>
      <w:kern w:val="2"/>
      <w:sz w:val="21"/>
      <w:szCs w:val="24"/>
    </w:rPr>
  </w:style>
  <w:style w:type="paragraph" w:customStyle="1" w:styleId="106">
    <w:name w:val="XN图标"/>
    <w:basedOn w:val="1"/>
    <w:link w:val="105"/>
    <w:qFormat/>
    <w:uiPriority w:val="0"/>
    <w:pPr>
      <w:spacing w:line="264" w:lineRule="auto"/>
      <w:jc w:val="center"/>
    </w:pPr>
    <w:rPr>
      <w:rFonts w:ascii="仿宋" w:hAnsi="仿宋" w:eastAsia="仿宋"/>
      <w:color w:val="000000"/>
    </w:rPr>
  </w:style>
  <w:style w:type="paragraph" w:customStyle="1" w:styleId="107">
    <w:name w:val="正文 New"/>
    <w:qFormat/>
    <w:uiPriority w:val="0"/>
    <w:pPr>
      <w:widowControl w:val="0"/>
      <w:spacing w:beforeLines="50" w:afterLines="50" w:line="440" w:lineRule="exact"/>
      <w:ind w:firstLine="640" w:firstLineChars="200"/>
      <w:jc w:val="both"/>
    </w:pPr>
    <w:rPr>
      <w:rFonts w:ascii="Times New Roman" w:hAnsi="Times New Roman" w:eastAsia="宋体" w:cs="Times New Roman"/>
      <w:sz w:val="24"/>
      <w:szCs w:val="24"/>
      <w:lang w:val="en-US" w:eastAsia="zh-CN" w:bidi="ar-SA"/>
    </w:rPr>
  </w:style>
  <w:style w:type="character" w:customStyle="1" w:styleId="108">
    <w:name w:val="(1) Char"/>
    <w:link w:val="109"/>
    <w:qFormat/>
    <w:uiPriority w:val="0"/>
    <w:rPr>
      <w:rFonts w:ascii="仿宋" w:hAnsi="宋体" w:eastAsia="仿宋"/>
      <w:szCs w:val="21"/>
    </w:rPr>
  </w:style>
  <w:style w:type="paragraph" w:customStyle="1" w:styleId="109">
    <w:name w:val="(1)"/>
    <w:basedOn w:val="1"/>
    <w:link w:val="108"/>
    <w:qFormat/>
    <w:uiPriority w:val="0"/>
    <w:pPr>
      <w:spacing w:line="360" w:lineRule="auto"/>
      <w:ind w:firstLine="420" w:firstLineChars="200"/>
    </w:pPr>
    <w:rPr>
      <w:rFonts w:ascii="仿宋" w:hAnsi="宋体" w:eastAsia="仿宋"/>
      <w:kern w:val="0"/>
      <w:sz w:val="20"/>
      <w:szCs w:val="21"/>
    </w:rPr>
  </w:style>
  <w:style w:type="character" w:customStyle="1" w:styleId="110">
    <w:name w:val="表格内容陈 Char Char"/>
    <w:link w:val="111"/>
    <w:qFormat/>
    <w:uiPriority w:val="0"/>
    <w:rPr>
      <w:rFonts w:cs="宋体"/>
      <w:color w:val="000000"/>
      <w:sz w:val="21"/>
      <w:szCs w:val="21"/>
    </w:rPr>
  </w:style>
  <w:style w:type="paragraph" w:customStyle="1" w:styleId="111">
    <w:name w:val="表格内容陈"/>
    <w:basedOn w:val="1"/>
    <w:link w:val="110"/>
    <w:qFormat/>
    <w:uiPriority w:val="0"/>
    <w:pPr>
      <w:widowControl/>
      <w:adjustRightInd w:val="0"/>
      <w:snapToGrid w:val="0"/>
      <w:spacing w:line="360" w:lineRule="exact"/>
      <w:jc w:val="left"/>
    </w:pPr>
    <w:rPr>
      <w:rFonts w:cs="宋体"/>
      <w:color w:val="000000"/>
      <w:kern w:val="0"/>
      <w:szCs w:val="21"/>
    </w:rPr>
  </w:style>
  <w:style w:type="character" w:customStyle="1" w:styleId="112">
    <w:name w:val="表样式1 Char Char"/>
    <w:link w:val="113"/>
    <w:qFormat/>
    <w:uiPriority w:val="0"/>
    <w:rPr>
      <w:b/>
      <w:bCs/>
      <w:color w:val="000000"/>
      <w:kern w:val="2"/>
      <w:sz w:val="21"/>
      <w:szCs w:val="24"/>
    </w:rPr>
  </w:style>
  <w:style w:type="paragraph" w:customStyle="1" w:styleId="113">
    <w:name w:val="表样式1"/>
    <w:basedOn w:val="1"/>
    <w:link w:val="112"/>
    <w:qFormat/>
    <w:uiPriority w:val="0"/>
    <w:pPr>
      <w:spacing w:line="400" w:lineRule="exact"/>
      <w:jc w:val="center"/>
    </w:pPr>
    <w:rPr>
      <w:b/>
      <w:bCs/>
      <w:color w:val="000000"/>
    </w:rPr>
  </w:style>
  <w:style w:type="paragraph" w:customStyle="1" w:styleId="114">
    <w:name w:val="WPSOffice手动目录 1"/>
    <w:qFormat/>
    <w:uiPriority w:val="0"/>
    <w:pPr>
      <w:ind w:leftChars="0"/>
    </w:pPr>
    <w:rPr>
      <w:rFonts w:ascii="Times New Roman" w:hAnsi="Times New Roman" w:eastAsia="宋体" w:cs="Times New Roman"/>
      <w:sz w:val="20"/>
      <w:szCs w:val="20"/>
    </w:rPr>
  </w:style>
  <w:style w:type="paragraph" w:customStyle="1" w:styleId="11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textRotate="1"/>
    <customShpInfo spid="_x0000_s2050"/>
    <customShpInfo spid="_x0000_s2051"/>
    <customShpInfo spid="_x0000_s2052"/>
    <customShpInfo spid="_x0000_s2053"/>
    <customShpInfo spid="_x0000_s2055"/>
    <customShpInfo spid="_x0000_s2056"/>
    <customShpInfo spid="_x0000_s2057"/>
    <customShpInfo spid="_x0000_s2058"/>
    <customShpInfo spid="_x0000_s2059"/>
    <customShpInfo spid="_x0000_s2060"/>
    <customShpInfo spid="_x0000_s2061"/>
    <customShpInfo spid="_x0000_s2063"/>
    <customShpInfo spid="_x0000_s2064"/>
    <customShpInfo spid="_x0000_s2065"/>
    <customShpInfo spid="_x0000_s2066"/>
    <customShpInfo spid="_x0000_s2067"/>
    <customShpInfo spid="_x0000_s206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06A5F1-D286-4B9C-A1B1-3426F26C0CB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2187</Words>
  <Characters>2263</Characters>
  <Lines>88</Lines>
  <Paragraphs>24</Paragraphs>
  <TotalTime>3</TotalTime>
  <ScaleCrop>false</ScaleCrop>
  <LinksUpToDate>false</LinksUpToDate>
  <CharactersWithSpaces>2298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2020-04-17T05:33:00Z</dcterms:created>
  <dc:creator>边晨</dc:creator>
  <cp:lastModifiedBy>磊鼎咨询4部</cp:lastModifiedBy>
  <cp:lastPrinted>2017-11-17T01:45:00Z</cp:lastPrinted>
  <dcterms:modified xsi:type="dcterms:W3CDTF">2026-09-09T08:21:07Z</dcterms:modified>
  <dc:title>目  次</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771EEE251F7D4E0EBB68B0874B6DA879</vt:lpwstr>
  </property>
  <property fmtid="{D5CDD505-2E9C-101B-9397-08002B2CF9AE}" pid="4" name="KSOTemplateDocerSaveRecord">
    <vt:lpwstr>eyJoZGlkIjoiNjI4MjJiZTlhYzNiYTE2NDkyMDgzOWZiZTVkZTM1MDIiLCJ1c2VySWQiOiIyODk4ODU3NDUifQ==</vt:lpwstr>
  </property>
</Properties>
</file>